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tabs>
          <w:tab w:val="clear" w:pos="720"/>
          <w:tab w:val="left" w:pos="2985" w:leader="none"/>
        </w:tabs>
        <w:spacing w:before="480" w:after="120"/>
        <w:rPr/>
      </w:pPr>
      <w:bookmarkStart w:id="0" w:name="_heading=h.gjdgxs"/>
      <w:bookmarkEnd w:id="0"/>
      <w:r>
        <w:rPr>
          <w:b/>
          <w:color w:val="FF0000"/>
          <w:sz w:val="46"/>
          <w:szCs w:val="46"/>
          <w:lang w:val="en-US"/>
        </w:rPr>
        <w:t xml:space="preserve">                         </w:t>
      </w:r>
      <w:r>
        <w:rPr/>
        <w:drawing>
          <wp:inline distT="0" distB="0" distL="0" distR="0">
            <wp:extent cx="2336165" cy="1668780"/>
            <wp:effectExtent l="0" t="0" r="0" b="0"/>
            <wp:docPr id="1" name="image1.jpg" descr="Ново лого Ерайдъ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Ново лого Ерайдър.jpg"/>
                    <pic:cNvPicPr>
                      <a:picLocks noChangeAspect="1" noChangeArrowheads="1"/>
                    </pic:cNvPicPr>
                  </pic:nvPicPr>
                  <pic:blipFill>
                    <a:blip r:embed="rId2"/>
                    <a:stretch>
                      <a:fillRect/>
                    </a:stretch>
                  </pic:blipFill>
                  <pic:spPr bwMode="auto">
                    <a:xfrm>
                      <a:off x="0" y="0"/>
                      <a:ext cx="2336165" cy="1668780"/>
                    </a:xfrm>
                    <a:prstGeom prst="rect">
                      <a:avLst/>
                    </a:prstGeom>
                    <a:noFill/>
                  </pic:spPr>
                </pic:pic>
              </a:graphicData>
            </a:graphic>
          </wp:inline>
        </w:drawing>
      </w:r>
    </w:p>
    <w:p>
      <w:pPr>
        <w:pStyle w:val="Normal"/>
        <w:spacing w:before="480" w:after="120"/>
        <w:jc w:val="center"/>
        <w:rPr>
          <w:b/>
          <w:color w:val="000000"/>
          <w:sz w:val="24"/>
          <w:szCs w:val="24"/>
        </w:rPr>
      </w:pPr>
      <w:r>
        <w:rPr>
          <w:b/>
          <w:color w:val="000000"/>
          <w:sz w:val="24"/>
          <w:szCs w:val="24"/>
        </w:rPr>
        <w:t xml:space="preserve">Гаранционна карта и условия  </w:t>
      </w:r>
    </w:p>
    <w:p>
      <w:pPr>
        <w:pStyle w:val="Normal"/>
        <w:rPr/>
      </w:pPr>
      <w:r>
        <w:rPr>
          <w:b/>
          <w:color w:val="111111"/>
        </w:rPr>
        <w:t>Продавач</w:t>
      </w:r>
      <w:r>
        <w:rPr>
          <w:color w:val="111111"/>
        </w:rPr>
        <w:t>:</w:t>
      </w:r>
      <w:r>
        <w:rPr>
          <w:b/>
          <w:color w:val="111111"/>
        </w:rPr>
        <w:t>Ерайдър ООД-</w:t>
      </w:r>
      <w:r>
        <w:rPr>
          <w:b/>
          <w:sz w:val="18"/>
          <w:szCs w:val="18"/>
        </w:rPr>
        <w:t>ЕИК206964826</w:t>
      </w:r>
      <w:r>
        <w:rPr>
          <w:b/>
          <w:sz w:val="18"/>
          <w:szCs w:val="18"/>
          <w:lang w:val="en-US"/>
        </w:rPr>
        <w:t xml:space="preserve">                                                                             </w:t>
      </w:r>
      <w:r>
        <w:rPr>
          <w:b/>
          <w:color w:val="111111"/>
          <w:sz w:val="18"/>
          <w:szCs w:val="18"/>
        </w:rPr>
        <w:t>Дата:00</w:t>
      </w:r>
      <w:r>
        <w:rPr>
          <w:b/>
          <w:color w:val="111111"/>
          <w:sz w:val="18"/>
          <w:szCs w:val="18"/>
          <w:lang w:val="en-US"/>
        </w:rPr>
        <w:t>.00.2024г</w:t>
      </w:r>
      <w:r>
        <w:rPr>
          <w:b/>
          <w:color w:val="111111"/>
          <w:sz w:val="18"/>
          <w:szCs w:val="18"/>
        </w:rPr>
        <w:t xml:space="preserve">. </w:t>
      </w:r>
    </w:p>
    <w:p>
      <w:pPr>
        <w:pStyle w:val="Normal"/>
        <w:rPr>
          <w:b/>
          <w:color w:val="111111"/>
          <w:sz w:val="21"/>
          <w:szCs w:val="21"/>
        </w:rPr>
      </w:pPr>
      <w:r>
        <w:rPr>
          <w:b/>
          <w:color w:val="111111"/>
          <w:sz w:val="21"/>
          <w:szCs w:val="21"/>
        </w:rPr>
      </w:r>
    </w:p>
    <w:p>
      <w:pPr>
        <w:pStyle w:val="Normal"/>
        <w:rPr/>
      </w:pPr>
      <w:r>
        <w:rPr>
          <w:b/>
          <w:color w:val="111111"/>
        </w:rPr>
        <w:t>Купувач:</w:t>
      </w:r>
      <w:r>
        <w:rPr>
          <w:rFonts w:eastAsia="Arial" w:cs="Arial"/>
          <w:b/>
          <w:color w:val="111111"/>
          <w:kern w:val="0"/>
          <w:sz w:val="22"/>
          <w:szCs w:val="22"/>
          <w:lang w:val="bg-BG" w:eastAsia="bg-BG" w:bidi="ar-SA"/>
        </w:rPr>
        <w:t xml:space="preserve">  </w:t>
      </w:r>
    </w:p>
    <w:p>
      <w:pPr>
        <w:pStyle w:val="Normal"/>
        <w:rPr>
          <w:color w:val="111111"/>
        </w:rPr>
      </w:pPr>
      <w:r>
        <w:rPr>
          <w:color w:val="111111"/>
        </w:rPr>
      </w:r>
    </w:p>
    <w:p>
      <w:pPr>
        <w:pStyle w:val="Normal"/>
        <w:rPr/>
      </w:pPr>
      <w:r>
        <w:rPr>
          <w:b/>
          <w:color w:val="111111"/>
        </w:rPr>
        <w:t xml:space="preserve">Тел.номер: </w:t>
      </w:r>
    </w:p>
    <w:p>
      <w:pPr>
        <w:pStyle w:val="Normal"/>
        <w:rPr/>
      </w:pPr>
      <w:r>
        <w:rPr>
          <w:b/>
          <w:i/>
          <w:color w:val="158466"/>
          <w:lang w:val="bg-BG"/>
        </w:rPr>
        <w:t xml:space="preserve"> </w:t>
      </w:r>
      <w:r>
        <w:rPr>
          <w:b/>
          <w:i/>
          <w:color w:val="158466"/>
          <w:lang w:val="bg-BG"/>
        </w:rPr>
        <w:t xml:space="preserve">Ерайдър онлайн магазин                                                 </w:t>
      </w:r>
      <w:r>
        <w:rPr>
          <w:b/>
          <w:i/>
          <w:color w:val="000000"/>
          <w:lang w:val="bg-BG"/>
        </w:rPr>
        <w:t xml:space="preserve"> </w:t>
      </w:r>
      <w:r>
        <w:rPr>
          <w:b/>
          <w:i/>
          <w:color w:val="000000"/>
          <w:lang w:val="en-US"/>
        </w:rPr>
        <w:t xml:space="preserve">           П</w:t>
      </w:r>
      <w:r>
        <w:rPr>
          <w:b/>
          <w:i/>
          <w:color w:val="000000"/>
          <w:lang w:val="bg-BG"/>
        </w:rPr>
        <w:t>одп</w:t>
      </w:r>
      <w:r>
        <w:rPr>
          <w:b/>
          <w:i/>
          <w:color w:val="000000"/>
          <w:lang w:val="en-US"/>
        </w:rPr>
        <w:t>ис/печ</w:t>
      </w:r>
      <w:r>
        <w:rPr>
          <w:b/>
          <w:i/>
          <w:color w:val="000000"/>
          <w:lang w:val="bg-BG"/>
        </w:rPr>
        <w:t xml:space="preserve">ат:       </w:t>
      </w:r>
      <w:r>
        <w:rPr>
          <w:b/>
          <w:i/>
          <w:color w:val="158466"/>
          <w:lang w:val="bg-BG"/>
        </w:rPr>
        <w:t xml:space="preserve">           </w:t>
      </w:r>
    </w:p>
    <w:p>
      <w:pPr>
        <w:pStyle w:val="Normal"/>
        <w:rPr/>
      </w:pPr>
      <w:hyperlink r:id="rId3">
        <w:r>
          <w:rPr>
            <w:rStyle w:val="ListLabel37"/>
            <w:b/>
            <w:bCs/>
            <w:color w:val="2A6099"/>
            <w:lang w:val="en-US"/>
          </w:rPr>
          <w:t>online@erider.bg</w:t>
        </w:r>
      </w:hyperlink>
      <w:r>
        <w:rPr>
          <w:b/>
          <w:bCs/>
          <w:color w:val="2A6099"/>
          <w:lang w:val="en-US"/>
        </w:rPr>
        <w:t xml:space="preserve"> </w:t>
      </w:r>
      <w:r>
        <w:rPr>
          <w:color w:val="2A6099"/>
          <w:lang w:val="en-US"/>
        </w:rPr>
        <w:t>-</w:t>
      </w:r>
      <w:r>
        <w:rPr>
          <w:b/>
          <w:bCs/>
          <w:color w:val="2A6099"/>
          <w:lang w:val="en-US"/>
        </w:rPr>
        <w:t xml:space="preserve"> 0884199844</w:t>
      </w:r>
    </w:p>
    <w:tbl>
      <w:tblPr>
        <w:tblW w:w="9922" w:type="dxa"/>
        <w:jc w:val="left"/>
        <w:tblInd w:w="-109" w:type="dxa"/>
        <w:tblLayout w:type="fixed"/>
        <w:tblCellMar>
          <w:top w:w="0" w:type="dxa"/>
          <w:left w:w="108" w:type="dxa"/>
          <w:bottom w:w="0" w:type="dxa"/>
          <w:right w:w="108" w:type="dxa"/>
        </w:tblCellMar>
      </w:tblPr>
      <w:tblGrid>
        <w:gridCol w:w="4961"/>
        <w:gridCol w:w="4960"/>
      </w:tblGrid>
      <w:tr>
        <w:trPr>
          <w:trHeight w:val="684" w:hRule="atLeast"/>
        </w:trPr>
        <w:tc>
          <w:tcPr>
            <w:tcW w:w="4961"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before="240" w:after="240"/>
              <w:rPr>
                <w:b/>
                <w:bCs/>
                <w:sz w:val="16"/>
                <w:szCs w:val="16"/>
              </w:rPr>
            </w:pPr>
            <w:r>
              <w:rPr>
                <w:b/>
                <w:bCs/>
                <w:sz w:val="16"/>
                <w:szCs w:val="16"/>
              </w:rPr>
              <w:t>Марка</w:t>
            </w:r>
          </w:p>
        </w:tc>
        <w:tc>
          <w:tcPr>
            <w:tcW w:w="4960"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before="240" w:after="240"/>
              <w:rPr>
                <w:rFonts w:ascii="Arial" w:hAnsi="Arial" w:eastAsia="Arial" w:cs="Arial"/>
                <w:b/>
                <w:i w:val="false"/>
                <w:i w:val="false"/>
                <w:caps w:val="false"/>
                <w:smallCaps w:val="false"/>
                <w:color w:val="auto"/>
                <w:kern w:val="0"/>
                <w:sz w:val="20"/>
                <w:szCs w:val="24"/>
                <w:lang w:val="en-US" w:eastAsia="bg-BG" w:bidi="ar-SA"/>
              </w:rPr>
            </w:pPr>
            <w:r>
              <w:rPr>
                <w:rFonts w:eastAsia="Arial" w:cs="Arial"/>
                <w:b/>
                <w:i w:val="false"/>
                <w:caps w:val="false"/>
                <w:smallCaps w:val="false"/>
                <w:color w:val="auto"/>
                <w:kern w:val="0"/>
                <w:sz w:val="20"/>
                <w:szCs w:val="24"/>
                <w:lang w:val="en-US" w:eastAsia="bg-BG" w:bidi="ar-SA"/>
              </w:rPr>
            </w:r>
          </w:p>
        </w:tc>
      </w:tr>
      <w:tr>
        <w:trPr>
          <w:trHeight w:val="649" w:hRule="atLeast"/>
        </w:trPr>
        <w:tc>
          <w:tcPr>
            <w:tcW w:w="4961"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before="240" w:after="240"/>
              <w:rPr>
                <w:b/>
                <w:bCs/>
                <w:sz w:val="16"/>
                <w:szCs w:val="16"/>
              </w:rPr>
            </w:pPr>
            <w:r>
              <w:rPr>
                <w:b/>
                <w:bCs/>
                <w:sz w:val="16"/>
                <w:szCs w:val="16"/>
              </w:rPr>
              <w:t>Модел:</w:t>
            </w:r>
          </w:p>
        </w:tc>
        <w:tc>
          <w:tcPr>
            <w:tcW w:w="4960"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before="240" w:after="240"/>
              <w:rPr>
                <w:rFonts w:ascii="Arial" w:hAnsi="Arial" w:eastAsia="Arial" w:cs="Arial"/>
                <w:b/>
                <w:bCs/>
                <w:color w:val="000000"/>
                <w:kern w:val="0"/>
                <w:sz w:val="20"/>
                <w:szCs w:val="24"/>
                <w:lang w:val="en-US" w:eastAsia="bg-BG" w:bidi="ar-SA"/>
              </w:rPr>
            </w:pPr>
            <w:r>
              <w:rPr>
                <w:rFonts w:eastAsia="Arial" w:cs="Arial"/>
                <w:b/>
                <w:bCs/>
                <w:color w:val="000000"/>
                <w:kern w:val="0"/>
                <w:sz w:val="20"/>
                <w:szCs w:val="24"/>
                <w:lang w:val="en-US" w:eastAsia="bg-BG" w:bidi="ar-SA"/>
              </w:rPr>
            </w:r>
          </w:p>
        </w:tc>
      </w:tr>
      <w:tr>
        <w:trPr>
          <w:trHeight w:val="518" w:hRule="atLeast"/>
        </w:trPr>
        <w:tc>
          <w:tcPr>
            <w:tcW w:w="4961"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before="240" w:after="240"/>
              <w:rPr>
                <w:b/>
                <w:bCs/>
                <w:sz w:val="16"/>
                <w:szCs w:val="16"/>
                <w:lang w:val="en-US"/>
              </w:rPr>
            </w:pPr>
            <w:r>
              <w:rPr>
                <w:b/>
                <w:bCs/>
                <w:sz w:val="16"/>
                <w:szCs w:val="16"/>
                <w:lang w:val="en-US"/>
              </w:rPr>
              <w:t>VIN:</w:t>
            </w:r>
          </w:p>
        </w:tc>
        <w:tc>
          <w:tcPr>
            <w:tcW w:w="4960"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before="240" w:after="240"/>
              <w:rPr>
                <w:b/>
                <w:bCs/>
              </w:rPr>
            </w:pPr>
            <w:r>
              <w:rPr>
                <w:b/>
                <w:bCs/>
              </w:rPr>
            </w:r>
          </w:p>
        </w:tc>
      </w:tr>
      <w:tr>
        <w:trPr>
          <w:trHeight w:val="1563" w:hRule="atLeast"/>
        </w:trPr>
        <w:tc>
          <w:tcPr>
            <w:tcW w:w="4961"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before="240" w:after="240"/>
              <w:rPr>
                <w:b/>
                <w:bCs/>
                <w:sz w:val="16"/>
                <w:szCs w:val="16"/>
              </w:rPr>
            </w:pPr>
            <w:r>
              <w:rPr>
                <w:b/>
                <w:bCs/>
                <w:sz w:val="16"/>
                <w:szCs w:val="16"/>
              </w:rPr>
              <w:t>Гаранционен срок (месеци) за физически лица</w:t>
            </w:r>
          </w:p>
          <w:p>
            <w:pPr>
              <w:pStyle w:val="Normal"/>
              <w:widowControl w:val="false"/>
              <w:spacing w:lineRule="auto" w:line="240" w:before="240" w:after="240"/>
              <w:rPr>
                <w:b/>
                <w:bCs/>
                <w:sz w:val="16"/>
                <w:szCs w:val="16"/>
              </w:rPr>
            </w:pPr>
            <w:r>
              <w:rPr>
                <w:b/>
                <w:bCs/>
                <w:sz w:val="16"/>
                <w:szCs w:val="16"/>
              </w:rPr>
              <w:t>Гаранционен срок (месеци) за ел.част</w:t>
            </w:r>
          </w:p>
          <w:p>
            <w:pPr>
              <w:pStyle w:val="Normal"/>
              <w:widowControl w:val="false"/>
              <w:spacing w:lineRule="auto" w:line="240" w:before="240" w:after="240"/>
              <w:rPr>
                <w:b/>
                <w:bCs/>
                <w:sz w:val="16"/>
                <w:szCs w:val="16"/>
              </w:rPr>
            </w:pPr>
            <w:r>
              <w:rPr>
                <w:b/>
                <w:bCs/>
                <w:sz w:val="16"/>
                <w:szCs w:val="16"/>
              </w:rPr>
              <w:t>Гаранционен срок за юридически лица ( месеци)</w:t>
            </w:r>
          </w:p>
          <w:p>
            <w:pPr>
              <w:pStyle w:val="Normal"/>
              <w:widowControl w:val="false"/>
              <w:spacing w:lineRule="auto" w:line="240" w:before="240" w:after="240"/>
              <w:rPr>
                <w:b/>
                <w:bCs/>
                <w:sz w:val="16"/>
                <w:szCs w:val="16"/>
              </w:rPr>
            </w:pPr>
            <w:r>
              <w:rPr>
                <w:b/>
                <w:bCs/>
                <w:sz w:val="16"/>
                <w:szCs w:val="16"/>
              </w:rPr>
              <w:t>Гаранционен срок спирачна система ( месеци)</w:t>
            </w:r>
          </w:p>
        </w:tc>
        <w:tc>
          <w:tcPr>
            <w:tcW w:w="4960"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before="240" w:after="240"/>
              <w:rPr>
                <w:sz w:val="16"/>
                <w:szCs w:val="16"/>
              </w:rPr>
            </w:pPr>
            <w:r>
              <w:rPr>
                <w:sz w:val="16"/>
                <w:szCs w:val="16"/>
              </w:rPr>
              <w:t>24 (двадесет и четири) месеца</w:t>
            </w:r>
          </w:p>
          <w:p>
            <w:pPr>
              <w:pStyle w:val="Normal"/>
              <w:widowControl w:val="false"/>
              <w:spacing w:lineRule="auto" w:line="240" w:before="240" w:after="240"/>
              <w:rPr>
                <w:sz w:val="16"/>
                <w:szCs w:val="16"/>
              </w:rPr>
            </w:pPr>
            <w:r>
              <w:rPr>
                <w:sz w:val="16"/>
                <w:szCs w:val="16"/>
              </w:rPr>
              <w:t>12 (дванадесет ) месеца на Батерията</w:t>
            </w:r>
          </w:p>
          <w:p>
            <w:pPr>
              <w:pStyle w:val="Normal"/>
              <w:widowControl w:val="false"/>
              <w:spacing w:lineRule="auto" w:line="240" w:before="240" w:after="240"/>
              <w:rPr>
                <w:sz w:val="16"/>
                <w:szCs w:val="16"/>
              </w:rPr>
            </w:pPr>
            <w:r>
              <w:rPr>
                <w:sz w:val="16"/>
                <w:szCs w:val="16"/>
              </w:rPr>
              <w:t>12 (дванадесет) месеца</w:t>
            </w:r>
          </w:p>
          <w:p>
            <w:pPr>
              <w:pStyle w:val="Normal"/>
              <w:widowControl w:val="false"/>
              <w:spacing w:lineRule="auto" w:line="240" w:before="240" w:after="240"/>
              <w:rPr>
                <w:sz w:val="16"/>
                <w:szCs w:val="16"/>
              </w:rPr>
            </w:pPr>
            <w:r>
              <w:rPr>
                <w:sz w:val="16"/>
                <w:szCs w:val="16"/>
              </w:rPr>
              <w:t xml:space="preserve">6 ( шест )  месеца </w:t>
            </w:r>
          </w:p>
        </w:tc>
      </w:tr>
      <w:tr>
        <w:trPr>
          <w:trHeight w:val="497" w:hRule="atLeast"/>
        </w:trPr>
        <w:tc>
          <w:tcPr>
            <w:tcW w:w="4961"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before="240" w:after="240"/>
              <w:rPr>
                <w:b/>
                <w:bCs/>
                <w:sz w:val="20"/>
                <w:szCs w:val="20"/>
              </w:rPr>
            </w:pPr>
            <w:r>
              <w:rPr>
                <w:b/>
                <w:bCs/>
                <w:sz w:val="20"/>
                <w:szCs w:val="20"/>
              </w:rPr>
              <w:t>Цвят:</w:t>
            </w:r>
          </w:p>
        </w:tc>
        <w:tc>
          <w:tcPr>
            <w:tcW w:w="4960" w:type="dxa"/>
            <w:tcBorders>
              <w:top w:val="single" w:sz="8" w:space="0" w:color="000000"/>
              <w:left w:val="single" w:sz="8" w:space="0" w:color="000000"/>
              <w:bottom w:val="single" w:sz="8" w:space="0" w:color="000000"/>
              <w:right w:val="single" w:sz="8" w:space="0" w:color="000000"/>
            </w:tcBorders>
          </w:tcPr>
          <w:p>
            <w:pPr>
              <w:pStyle w:val="Normal"/>
              <w:widowControl w:val="false"/>
              <w:rPr>
                <w:rFonts w:eastAsia="Arial" w:cs="Arial"/>
                <w:b/>
                <w:bCs/>
                <w:color w:val="auto"/>
                <w:kern w:val="0"/>
                <w:sz w:val="20"/>
                <w:szCs w:val="20"/>
                <w:lang w:val="bg-BG" w:eastAsia="bg-BG" w:bidi="ar-SA"/>
              </w:rPr>
            </w:pPr>
            <w:r>
              <w:rPr>
                <w:rFonts w:eastAsia="Arial" w:cs="Arial"/>
                <w:b/>
                <w:bCs/>
                <w:color w:val="auto"/>
                <w:kern w:val="0"/>
                <w:sz w:val="20"/>
                <w:szCs w:val="20"/>
                <w:lang w:val="bg-BG" w:eastAsia="bg-BG" w:bidi="ar-SA"/>
              </w:rPr>
            </w:r>
          </w:p>
        </w:tc>
      </w:tr>
    </w:tbl>
    <w:p>
      <w:pPr>
        <w:pStyle w:val="Normal"/>
        <w:rPr>
          <w:b/>
          <w:sz w:val="24"/>
          <w:szCs w:val="24"/>
          <w:lang w:val="en-US"/>
        </w:rPr>
      </w:pPr>
      <w:r>
        <w:rPr>
          <w:b/>
          <w:sz w:val="24"/>
          <w:szCs w:val="24"/>
          <w:lang w:val="en-US"/>
        </w:rPr>
      </w:r>
    </w:p>
    <w:p>
      <w:pPr>
        <w:pStyle w:val="Normal"/>
        <w:rPr>
          <w:b/>
          <w:sz w:val="24"/>
          <w:szCs w:val="24"/>
        </w:rPr>
      </w:pPr>
      <w:r>
        <w:rPr>
          <w:b/>
          <w:sz w:val="24"/>
          <w:szCs w:val="24"/>
        </w:rPr>
      </w:r>
    </w:p>
    <w:p>
      <w:pPr>
        <w:pStyle w:val="Normal"/>
        <w:rPr>
          <w:b/>
          <w:sz w:val="24"/>
          <w:szCs w:val="24"/>
        </w:rPr>
      </w:pPr>
      <w:r>
        <w:rPr>
          <w:b/>
          <w:sz w:val="24"/>
          <w:szCs w:val="24"/>
        </w:rPr>
      </w:r>
    </w:p>
    <w:p>
      <w:pPr>
        <w:pStyle w:val="Normal"/>
        <w:spacing w:lineRule="auto" w:line="240"/>
        <w:jc w:val="center"/>
        <w:rPr>
          <w:b/>
          <w:sz w:val="20"/>
          <w:szCs w:val="20"/>
        </w:rPr>
      </w:pPr>
      <w:r>
        <w:rPr>
          <w:b/>
          <w:sz w:val="20"/>
          <w:szCs w:val="20"/>
        </w:rPr>
        <w:t>ЗАДЪЛЖИТЕЛНИ  ПРАВИЛА ЗА ЕКСПЛОАТАЦИЯ</w:t>
      </w:r>
    </w:p>
    <w:p>
      <w:pPr>
        <w:pStyle w:val="Normal"/>
        <w:spacing w:lineRule="auto" w:line="240"/>
        <w:rPr>
          <w:sz w:val="20"/>
          <w:szCs w:val="20"/>
        </w:rPr>
      </w:pPr>
      <w:r>
        <w:rPr>
          <w:sz w:val="20"/>
          <w:szCs w:val="20"/>
        </w:rPr>
      </w:r>
    </w:p>
    <w:p>
      <w:pPr>
        <w:pStyle w:val="Normal"/>
        <w:spacing w:lineRule="auto" w:line="240"/>
        <w:jc w:val="both"/>
        <w:rPr>
          <w:sz w:val="18"/>
          <w:szCs w:val="18"/>
        </w:rPr>
      </w:pPr>
      <w:r>
        <w:rPr>
          <w:sz w:val="18"/>
          <w:szCs w:val="18"/>
        </w:rPr>
        <w:t>Ерайдър ООД Ви благодари за направената покупка. Закупеният от Вас продукт отговаря на всички приложими Директиви/Регламенти на ЕС и на изискванията на ЗЦСЦУПС. Със закупуването на продукта всеки клиент получава Ръководството за употреба с превод на български език, Гаранционна карта, Сертификат СЕ и се съгласява, че е уведомен за случаите, в които гаранцията отпада.</w:t>
      </w:r>
    </w:p>
    <w:p>
      <w:pPr>
        <w:pStyle w:val="Normal"/>
        <w:jc w:val="both"/>
        <w:rPr>
          <w:sz w:val="18"/>
          <w:szCs w:val="18"/>
        </w:rPr>
      </w:pPr>
      <w:r>
        <w:rPr>
          <w:sz w:val="18"/>
          <w:szCs w:val="18"/>
        </w:rPr>
        <w:t>За безопасната и правилна употреба на продукта следва да спазвате стриктно всички изисквания, които са изчерпателно посочени в ръководството за употреба (на хартиен носител или в електронен вариант на сайта на компанията). Задължително се запознайте внимателно с това ръководство и спазвайте инструкциите, посочени в него.</w:t>
      </w:r>
    </w:p>
    <w:p>
      <w:pPr>
        <w:pStyle w:val="Normal"/>
        <w:jc w:val="both"/>
        <w:rPr>
          <w:sz w:val="18"/>
          <w:szCs w:val="18"/>
          <w:lang w:val="en-US"/>
        </w:rPr>
      </w:pPr>
      <w:r>
        <w:rPr>
          <w:sz w:val="18"/>
          <w:szCs w:val="18"/>
          <w:lang w:val="en-US"/>
        </w:rPr>
      </w:r>
    </w:p>
    <w:p>
      <w:pPr>
        <w:pStyle w:val="Normal"/>
        <w:jc w:val="both"/>
        <w:rPr>
          <w:sz w:val="18"/>
          <w:szCs w:val="18"/>
          <w:lang w:val="en-US"/>
        </w:rPr>
      </w:pPr>
      <w:r>
        <w:rPr>
          <w:sz w:val="18"/>
          <w:szCs w:val="18"/>
          <w:lang w:val="en-US"/>
        </w:rPr>
      </w:r>
    </w:p>
    <w:p>
      <w:pPr>
        <w:pStyle w:val="Normal"/>
        <w:jc w:val="both"/>
        <w:rPr>
          <w:sz w:val="18"/>
          <w:szCs w:val="18"/>
          <w:lang w:val="en-US"/>
        </w:rPr>
      </w:pPr>
      <w:r>
        <w:rPr>
          <w:sz w:val="18"/>
          <w:szCs w:val="18"/>
          <w:lang w:val="en-US"/>
        </w:rPr>
      </w:r>
    </w:p>
    <w:p>
      <w:pPr>
        <w:pStyle w:val="Normal"/>
        <w:jc w:val="both"/>
        <w:rPr>
          <w:sz w:val="18"/>
          <w:szCs w:val="18"/>
          <w:lang w:val="en-US"/>
        </w:rPr>
      </w:pPr>
      <w:r>
        <w:rPr>
          <w:sz w:val="18"/>
          <w:szCs w:val="18"/>
          <w:lang w:val="en-US"/>
        </w:rPr>
      </w:r>
    </w:p>
    <w:p>
      <w:pPr>
        <w:pStyle w:val="Normal"/>
        <w:jc w:val="center"/>
        <w:rPr>
          <w:b/>
          <w:color w:val="FF0000"/>
          <w:sz w:val="20"/>
          <w:szCs w:val="20"/>
        </w:rPr>
      </w:pPr>
      <w:r>
        <w:rPr>
          <w:b/>
          <w:color w:val="FF0000"/>
          <w:sz w:val="20"/>
          <w:szCs w:val="20"/>
        </w:rPr>
        <w:t>ВАЖНО!</w:t>
      </w:r>
    </w:p>
    <w:p>
      <w:pPr>
        <w:pStyle w:val="Normal"/>
        <w:numPr>
          <w:ilvl w:val="0"/>
          <w:numId w:val="2"/>
        </w:numPr>
        <w:spacing w:lineRule="auto" w:line="240"/>
        <w:jc w:val="both"/>
        <w:rPr>
          <w:sz w:val="18"/>
          <w:szCs w:val="18"/>
        </w:rPr>
      </w:pPr>
      <w:r>
        <w:rPr>
          <w:sz w:val="18"/>
          <w:szCs w:val="18"/>
        </w:rPr>
        <w:t>Използвайте само занулени ел. контакти и при работа не подлагайте изделието на удари и вибрации.</w:t>
      </w:r>
    </w:p>
    <w:p>
      <w:pPr>
        <w:pStyle w:val="Normal"/>
        <w:numPr>
          <w:ilvl w:val="0"/>
          <w:numId w:val="2"/>
        </w:numPr>
        <w:spacing w:lineRule="auto" w:line="240"/>
        <w:jc w:val="both"/>
        <w:rPr>
          <w:sz w:val="18"/>
          <w:szCs w:val="18"/>
        </w:rPr>
      </w:pPr>
      <w:r>
        <w:rPr>
          <w:sz w:val="18"/>
          <w:szCs w:val="18"/>
        </w:rPr>
        <w:t>Не използвайте изделието при мокра настилка, както и по време на валежи от дъжд, сняг или градушка. (Почиствайте с мокър парцал, не го мийте с пароструйка и вода под високо налягане)</w:t>
      </w:r>
    </w:p>
    <w:p>
      <w:pPr>
        <w:pStyle w:val="Normal"/>
        <w:numPr>
          <w:ilvl w:val="0"/>
          <w:numId w:val="2"/>
        </w:numPr>
        <w:spacing w:lineRule="auto" w:line="240"/>
        <w:jc w:val="both"/>
        <w:rPr>
          <w:sz w:val="18"/>
          <w:szCs w:val="18"/>
        </w:rPr>
      </w:pPr>
      <w:r>
        <w:rPr>
          <w:sz w:val="18"/>
          <w:szCs w:val="18"/>
        </w:rPr>
        <w:t xml:space="preserve">В случай на намокряне или употреба на изделието при условията на т.2 гаранцията отпада. </w:t>
      </w:r>
    </w:p>
    <w:p>
      <w:pPr>
        <w:pStyle w:val="Normal"/>
        <w:numPr>
          <w:ilvl w:val="0"/>
          <w:numId w:val="2"/>
        </w:numPr>
        <w:spacing w:lineRule="auto" w:line="240"/>
        <w:jc w:val="both"/>
        <w:rPr>
          <w:sz w:val="18"/>
          <w:szCs w:val="18"/>
        </w:rPr>
      </w:pPr>
      <w:r>
        <w:rPr>
          <w:sz w:val="18"/>
          <w:szCs w:val="18"/>
        </w:rPr>
        <w:t>Изделието може да се използва само от лица, чието тегло е в рамките на допустимото, посочено в Ръководството за употреба.</w:t>
      </w:r>
    </w:p>
    <w:p>
      <w:pPr>
        <w:pStyle w:val="Normal"/>
        <w:numPr>
          <w:ilvl w:val="0"/>
          <w:numId w:val="2"/>
        </w:numPr>
        <w:spacing w:lineRule="auto" w:line="240"/>
        <w:jc w:val="both"/>
        <w:rPr/>
      </w:pPr>
      <w:r>
        <w:rPr>
          <w:b/>
          <w:bCs/>
          <w:sz w:val="18"/>
          <w:szCs w:val="18"/>
        </w:rPr>
        <w:t>Изделието НЕ Е подходящо за лица под 14 години</w:t>
      </w:r>
      <w:r>
        <w:rPr>
          <w:sz w:val="18"/>
          <w:szCs w:val="18"/>
        </w:rPr>
        <w:t>. Изделието НЕ МОЖЕ да се използва едновременно от повече от едно лице. Изделието не е предназначение за каране по off road терен, скачане и трикове.</w:t>
      </w:r>
    </w:p>
    <w:p>
      <w:pPr>
        <w:pStyle w:val="Normal"/>
        <w:numPr>
          <w:ilvl w:val="0"/>
          <w:numId w:val="2"/>
        </w:numPr>
        <w:spacing w:lineRule="auto" w:line="240"/>
        <w:jc w:val="both"/>
        <w:rPr>
          <w:sz w:val="18"/>
          <w:szCs w:val="18"/>
        </w:rPr>
      </w:pPr>
      <w:r>
        <w:rPr>
          <w:sz w:val="18"/>
          <w:szCs w:val="18"/>
        </w:rPr>
        <w:t>Изделието следва да се използва единствено и само с оригиналната батерия, закупена едновременно с него.</w:t>
      </w:r>
    </w:p>
    <w:p>
      <w:pPr>
        <w:pStyle w:val="Normal"/>
        <w:numPr>
          <w:ilvl w:val="0"/>
          <w:numId w:val="2"/>
        </w:numPr>
        <w:spacing w:lineRule="auto" w:line="240"/>
        <w:jc w:val="both"/>
        <w:rPr>
          <w:sz w:val="18"/>
          <w:szCs w:val="18"/>
        </w:rPr>
      </w:pPr>
      <w:r>
        <w:rPr>
          <w:sz w:val="18"/>
          <w:szCs w:val="18"/>
        </w:rPr>
        <w:t>Зареждайте изделието единствено и само със зарядното устройство, предназначено за съответния модел и закупено едновременно с продукта.</w:t>
      </w:r>
    </w:p>
    <w:p>
      <w:pPr>
        <w:pStyle w:val="Normal"/>
        <w:numPr>
          <w:ilvl w:val="0"/>
          <w:numId w:val="2"/>
        </w:numPr>
        <w:spacing w:lineRule="auto" w:line="240"/>
        <w:jc w:val="both"/>
        <w:rPr>
          <w:sz w:val="18"/>
          <w:szCs w:val="18"/>
        </w:rPr>
      </w:pPr>
      <w:r>
        <w:rPr>
          <w:sz w:val="18"/>
          <w:szCs w:val="18"/>
        </w:rPr>
        <w:t>За обновяване на системния софтуер на изделието, ползвайте само препоръчани от производителя програми и версии, като стриктно спазвате съответната процедура. Повредите в следствие на неправилно обновяване (ъпгрейд) не са обект на гаранция;</w:t>
      </w:r>
    </w:p>
    <w:p>
      <w:pPr>
        <w:pStyle w:val="Normal"/>
        <w:numPr>
          <w:ilvl w:val="0"/>
          <w:numId w:val="2"/>
        </w:numPr>
        <w:spacing w:lineRule="auto" w:line="240"/>
        <w:jc w:val="both"/>
        <w:rPr>
          <w:sz w:val="18"/>
          <w:szCs w:val="18"/>
        </w:rPr>
      </w:pPr>
      <w:r>
        <w:rPr>
          <w:sz w:val="18"/>
          <w:szCs w:val="18"/>
        </w:rPr>
        <w:t>Винаги съхранявайте продукта на сухо и чисто място при температура от -5° дo + 35° С.</w:t>
      </w:r>
    </w:p>
    <w:p>
      <w:pPr>
        <w:pStyle w:val="Normal"/>
        <w:numPr>
          <w:ilvl w:val="0"/>
          <w:numId w:val="2"/>
        </w:numPr>
        <w:spacing w:lineRule="auto" w:line="240"/>
        <w:jc w:val="both"/>
        <w:rPr>
          <w:sz w:val="18"/>
          <w:szCs w:val="18"/>
        </w:rPr>
      </w:pPr>
      <w:r>
        <w:rPr>
          <w:sz w:val="18"/>
          <w:szCs w:val="18"/>
        </w:rPr>
        <w:t>Продуктът трябва да се поддържа и проверява редовно.При интензивна употреба тази поддръжка трябва да се извършва на всеки 3 месеца, а ако продуктът се използва по-рядко – на всеки 6 месеца. Важна част от тази поддръжка е проверката на всички болтове, гайки и свързващи елементи, за да е гарантирано, че продуктът е безопасен и функционира правилно.</w:t>
      </w:r>
    </w:p>
    <w:p>
      <w:pPr>
        <w:pStyle w:val="Normal"/>
        <w:numPr>
          <w:ilvl w:val="0"/>
          <w:numId w:val="2"/>
        </w:numPr>
        <w:spacing w:lineRule="auto" w:line="240"/>
        <w:jc w:val="both"/>
        <w:rPr>
          <w:sz w:val="18"/>
          <w:szCs w:val="18"/>
        </w:rPr>
      </w:pPr>
      <w:r>
        <w:rPr>
          <w:sz w:val="18"/>
          <w:szCs w:val="18"/>
        </w:rPr>
        <w:t xml:space="preserve">В описанието на продукта, посочено в сайта на производителя и на нашата страница фигурират различни показания за максимална скорост, тъй като за държави извън ЕС производителят е предвидил потенциално по-висока скорост, а за държавите от ЕС, вкл. България, тази скорост е ограничена конструктивно до 25 км/ч. в съответствие с изискванията, заложени в европейските регламенти за този вид стока. </w:t>
      </w:r>
    </w:p>
    <w:p>
      <w:pPr>
        <w:pStyle w:val="Normal"/>
        <w:numPr>
          <w:ilvl w:val="0"/>
          <w:numId w:val="2"/>
        </w:numPr>
        <w:spacing w:lineRule="auto" w:line="240"/>
        <w:jc w:val="both"/>
        <w:rPr>
          <w:b w:val="false"/>
          <w:bCs w:val="false"/>
        </w:rPr>
      </w:pPr>
      <w:r>
        <w:rPr>
          <w:b w:val="false"/>
          <w:bCs w:val="false"/>
          <w:sz w:val="18"/>
          <w:szCs w:val="18"/>
        </w:rPr>
        <w:t>Препоръки за правилна експлоатация на батерията:</w:t>
      </w:r>
    </w:p>
    <w:p>
      <w:pPr>
        <w:pStyle w:val="Normal"/>
        <w:spacing w:lineRule="auto" w:line="240"/>
        <w:ind w:firstLine="360" w:left="0" w:right="0"/>
        <w:jc w:val="both"/>
        <w:rPr>
          <w:b w:val="false"/>
          <w:bCs w:val="false"/>
        </w:rPr>
      </w:pPr>
      <w:r>
        <w:rPr>
          <w:b/>
          <w:bCs/>
          <w:sz w:val="18"/>
          <w:szCs w:val="18"/>
        </w:rPr>
        <w:t>12.1</w:t>
      </w:r>
      <w:r>
        <w:rPr>
          <w:b w:val="false"/>
          <w:bCs w:val="false"/>
          <w:sz w:val="18"/>
          <w:szCs w:val="18"/>
        </w:rPr>
        <w:t xml:space="preserve"> Съвети за безопасност при работа с литиево-йонни батерии</w:t>
      </w:r>
    </w:p>
    <w:p>
      <w:pPr>
        <w:pStyle w:val="Normal"/>
        <w:spacing w:lineRule="auto" w:line="240"/>
        <w:ind w:firstLine="360" w:left="0" w:right="0"/>
        <w:jc w:val="both"/>
        <w:rPr>
          <w:b w:val="false"/>
          <w:bCs w:val="false"/>
        </w:rPr>
      </w:pPr>
      <w:r>
        <w:rPr>
          <w:b w:val="false"/>
          <w:bCs w:val="false"/>
          <w:sz w:val="18"/>
          <w:szCs w:val="18"/>
        </w:rPr>
        <w:t>Не изпускайте и не удряйте батерията.</w:t>
      </w:r>
    </w:p>
    <w:p>
      <w:pPr>
        <w:pStyle w:val="Normal"/>
        <w:spacing w:lineRule="auto" w:line="240"/>
        <w:ind w:hanging="0" w:left="360" w:right="0"/>
        <w:jc w:val="both"/>
        <w:rPr>
          <w:b w:val="false"/>
          <w:bCs w:val="false"/>
        </w:rPr>
      </w:pPr>
      <w:r>
        <w:rPr>
          <w:b w:val="false"/>
          <w:bCs w:val="false"/>
          <w:sz w:val="18"/>
          <w:szCs w:val="18"/>
        </w:rPr>
        <w:t>Не оставяйте батерията в близост до източник на топлина, на влажно или мокро място.</w:t>
      </w:r>
    </w:p>
    <w:p>
      <w:pPr>
        <w:pStyle w:val="Normal"/>
        <w:spacing w:lineRule="auto" w:line="240"/>
        <w:ind w:hanging="0" w:left="360" w:right="0"/>
        <w:jc w:val="both"/>
        <w:rPr>
          <w:b w:val="false"/>
          <w:bCs w:val="false"/>
        </w:rPr>
      </w:pPr>
      <w:r>
        <w:rPr>
          <w:b w:val="false"/>
          <w:bCs w:val="false"/>
          <w:sz w:val="18"/>
          <w:szCs w:val="18"/>
        </w:rPr>
        <w:t>Не изгаряйте батерията и не я излагайте на прекалено високи температури или пламъци. Това може да доведе до експлозия! В подобен случай трябва да прекратите използването на батерията и/или зарядното устройство, докато температурата не се понижи.</w:t>
      </w:r>
    </w:p>
    <w:p>
      <w:pPr>
        <w:pStyle w:val="Normal"/>
        <w:spacing w:lineRule="auto" w:line="240"/>
        <w:ind w:hanging="0" w:left="360" w:right="0"/>
        <w:jc w:val="both"/>
        <w:rPr>
          <w:b w:val="false"/>
          <w:bCs w:val="false"/>
        </w:rPr>
      </w:pPr>
      <w:r>
        <w:rPr>
          <w:b w:val="false"/>
          <w:bCs w:val="false"/>
          <w:sz w:val="18"/>
          <w:szCs w:val="18"/>
        </w:rPr>
        <w:t>Не се опитвайте да режете, разтапяте, продупчвате или ремонтирате батерията. Това може да доведе до изтичане на електролити, които са силно запалими и могат да доведат до физически наранявания.</w:t>
      </w:r>
    </w:p>
    <w:p>
      <w:pPr>
        <w:pStyle w:val="Normal"/>
        <w:spacing w:lineRule="auto" w:line="240"/>
        <w:ind w:hanging="0" w:left="360" w:right="0"/>
        <w:jc w:val="both"/>
        <w:rPr>
          <w:b w:val="false"/>
          <w:bCs w:val="false"/>
        </w:rPr>
      </w:pPr>
      <w:r>
        <w:rPr>
          <w:b w:val="false"/>
          <w:bCs w:val="false"/>
          <w:sz w:val="18"/>
          <w:szCs w:val="18"/>
        </w:rPr>
        <w:t>Използвайте литиево-йонни батерии само с подходящото за тях зарядно устройство.</w:t>
      </w:r>
    </w:p>
    <w:p>
      <w:pPr>
        <w:pStyle w:val="Normal"/>
        <w:spacing w:lineRule="auto" w:line="240"/>
        <w:ind w:hanging="0" w:left="360" w:right="0"/>
        <w:jc w:val="both"/>
        <w:rPr>
          <w:b w:val="false"/>
          <w:bCs w:val="false"/>
        </w:rPr>
      </w:pPr>
      <w:r>
        <w:rPr>
          <w:b w:val="false"/>
          <w:bCs w:val="false"/>
          <w:sz w:val="18"/>
          <w:szCs w:val="18"/>
        </w:rPr>
        <w:t>В случай на пожар, за да предотвратите разпространението на пламъците, използвайте пожарогасител, сух химикал, графит на прах, мед на прах или натриев карбонат (сода). Ако пламъците от батерията не могат да бъдат потушени, оставете батерията да изгори докрай на проветриво и безопасно място.</w:t>
      </w:r>
    </w:p>
    <w:p>
      <w:pPr>
        <w:pStyle w:val="Normal"/>
        <w:spacing w:lineRule="auto" w:line="240"/>
        <w:ind w:firstLine="360" w:left="0" w:right="0"/>
        <w:jc w:val="both"/>
        <w:rPr>
          <w:b w:val="false"/>
          <w:bCs w:val="false"/>
        </w:rPr>
      </w:pPr>
      <w:r>
        <w:rPr>
          <w:b w:val="false"/>
          <w:bCs w:val="false"/>
          <w:sz w:val="18"/>
          <w:szCs w:val="18"/>
        </w:rPr>
        <w:t xml:space="preserve"> </w:t>
      </w:r>
      <w:r>
        <w:rPr>
          <w:b/>
          <w:bCs/>
          <w:sz w:val="18"/>
          <w:szCs w:val="18"/>
        </w:rPr>
        <w:t>12.2</w:t>
      </w:r>
      <w:r>
        <w:rPr>
          <w:b w:val="false"/>
          <w:bCs w:val="false"/>
          <w:sz w:val="18"/>
          <w:szCs w:val="18"/>
        </w:rPr>
        <w:t xml:space="preserve"> Съхранение на литиево-йонните батерии</w:t>
      </w:r>
    </w:p>
    <w:p>
      <w:pPr>
        <w:pStyle w:val="Normal"/>
        <w:spacing w:lineRule="auto" w:line="240"/>
        <w:ind w:hanging="0" w:left="360" w:right="0"/>
        <w:jc w:val="both"/>
        <w:rPr>
          <w:b w:val="false"/>
          <w:bCs w:val="false"/>
        </w:rPr>
      </w:pPr>
      <w:r>
        <w:rPr>
          <w:b w:val="false"/>
          <w:bCs w:val="false"/>
          <w:sz w:val="18"/>
          <w:szCs w:val="18"/>
        </w:rPr>
        <w:t>Ако трябва да съхранявате батерия известно време (месец или повече), без да я използвате, заредете я на 100% и я приберете на сухо и чисто място. Ако батерията не се използва за дълъг период от време е възможно да изгуби заряда си и да се повреди. Следователно, след като батерията не е била използвана известно време, е изключително важно да направите поне един цикъл на пълно разреждане и зареждане на батерията, за да я калибрирате. Ако повтаряте този цикъл всеки месец (най-много на два-три месеца), осигурявате на батерията си добро съхранение и по-дълъг експлоатационен живот.</w:t>
      </w:r>
    </w:p>
    <w:p>
      <w:pPr>
        <w:pStyle w:val="Normal"/>
        <w:spacing w:lineRule="auto" w:line="240"/>
        <w:ind w:hanging="0" w:left="360" w:right="0"/>
        <w:jc w:val="both"/>
        <w:rPr>
          <w:b w:val="false"/>
          <w:bCs w:val="false"/>
        </w:rPr>
      </w:pPr>
      <w:r>
        <w:rPr>
          <w:b/>
          <w:bCs/>
          <w:sz w:val="18"/>
          <w:szCs w:val="18"/>
        </w:rPr>
        <w:t xml:space="preserve">12.3 </w:t>
      </w:r>
      <w:r>
        <w:rPr>
          <w:b w:val="false"/>
          <w:bCs w:val="false"/>
          <w:sz w:val="18"/>
          <w:szCs w:val="18"/>
        </w:rPr>
        <w:t>Ерайдър ООД не носи отговорност, ако не са спазени препоръките за съхранение на батерията, съответно не заменя батерии които не са съхранени според препоръките.</w:t>
      </w:r>
      <w:bookmarkStart w:id="1" w:name="_heading=h.30j0zll"/>
      <w:bookmarkEnd w:id="1"/>
    </w:p>
    <w:p>
      <w:pPr>
        <w:pStyle w:val="Normal"/>
        <w:spacing w:lineRule="auto" w:line="240"/>
        <w:ind w:hanging="0" w:left="360" w:right="0"/>
        <w:jc w:val="both"/>
        <w:rPr>
          <w:b/>
          <w:sz w:val="18"/>
          <w:szCs w:val="18"/>
          <w:lang w:val="en-US"/>
        </w:rPr>
      </w:pPr>
      <w:r>
        <w:rPr>
          <w:b/>
          <w:sz w:val="18"/>
          <w:szCs w:val="18"/>
          <w:lang w:val="en-US"/>
        </w:rPr>
      </w:r>
    </w:p>
    <w:p>
      <w:pPr>
        <w:pStyle w:val="Normal"/>
        <w:spacing w:lineRule="auto" w:line="240"/>
        <w:ind w:hanging="0" w:left="360" w:right="0"/>
        <w:jc w:val="both"/>
        <w:rPr>
          <w:b/>
          <w:color w:val="000000"/>
          <w:sz w:val="20"/>
          <w:szCs w:val="20"/>
        </w:rPr>
      </w:pPr>
      <w:r>
        <w:rPr>
          <w:b/>
          <w:color w:val="000000"/>
          <w:sz w:val="20"/>
          <w:szCs w:val="20"/>
        </w:rPr>
        <w:t>ГАРАНЦИОННИ УСЛОВИЯ</w:t>
      </w:r>
    </w:p>
    <w:p>
      <w:pPr>
        <w:pStyle w:val="Normal"/>
        <w:spacing w:lineRule="auto" w:line="240"/>
        <w:ind w:hanging="0" w:left="360" w:right="0"/>
        <w:jc w:val="both"/>
        <w:rPr>
          <w:b/>
          <w:sz w:val="18"/>
          <w:szCs w:val="18"/>
        </w:rPr>
      </w:pPr>
      <w:r>
        <w:rPr>
          <w:b/>
          <w:sz w:val="18"/>
          <w:szCs w:val="18"/>
        </w:rPr>
      </w:r>
    </w:p>
    <w:p>
      <w:pPr>
        <w:pStyle w:val="Normal"/>
        <w:numPr>
          <w:ilvl w:val="0"/>
          <w:numId w:val="3"/>
        </w:numPr>
        <w:spacing w:lineRule="auto" w:line="240"/>
        <w:jc w:val="both"/>
        <w:rPr>
          <w:sz w:val="18"/>
          <w:szCs w:val="18"/>
        </w:rPr>
      </w:pPr>
      <w:r>
        <w:rPr>
          <w:sz w:val="18"/>
          <w:szCs w:val="18"/>
        </w:rPr>
        <w:t xml:space="preserve">Гаранцията важи само на територията на Р България, като рекламацията може да се осъществява безплатно във всеки работен ден, в удобен за вас магазин или сервизен център, от посочените в сайта www.erider.bg. </w:t>
      </w:r>
    </w:p>
    <w:p>
      <w:pPr>
        <w:pStyle w:val="Normal"/>
        <w:numPr>
          <w:ilvl w:val="0"/>
          <w:numId w:val="3"/>
        </w:numPr>
        <w:jc w:val="both"/>
        <w:rPr>
          <w:sz w:val="18"/>
          <w:szCs w:val="18"/>
        </w:rPr>
      </w:pPr>
      <w:r>
        <w:rPr>
          <w:sz w:val="18"/>
          <w:szCs w:val="18"/>
        </w:rPr>
        <w:t>Гаранционният срок започва да тече от посочената в тази карта дата на закупуване от крайния клиент.</w:t>
      </w:r>
    </w:p>
    <w:p>
      <w:pPr>
        <w:pStyle w:val="Normal"/>
        <w:numPr>
          <w:ilvl w:val="0"/>
          <w:numId w:val="3"/>
        </w:numPr>
        <w:jc w:val="both"/>
        <w:rPr>
          <w:sz w:val="18"/>
          <w:szCs w:val="18"/>
        </w:rPr>
      </w:pPr>
      <w:r>
        <w:rPr>
          <w:sz w:val="18"/>
          <w:szCs w:val="18"/>
        </w:rPr>
        <w:t>Гаранционното обслужване се осъществява само при едновременно представянето на коректно попълнени и валидни гаранционни документи заедно с платежни документи, удостоверяващи покупката на продукта (касов бон, фактура). Гаранцията отпада при нарушен външен вид, поправка или промени в платежния документ и/ или в гаранционната карта.</w:t>
      </w:r>
    </w:p>
    <w:p>
      <w:pPr>
        <w:pStyle w:val="Normal"/>
        <w:numPr>
          <w:ilvl w:val="0"/>
          <w:numId w:val="3"/>
        </w:numPr>
        <w:spacing w:lineRule="auto" w:line="240"/>
        <w:jc w:val="both"/>
        <w:rPr>
          <w:sz w:val="18"/>
          <w:szCs w:val="18"/>
        </w:rPr>
      </w:pPr>
      <w:r>
        <w:rPr>
          <w:sz w:val="18"/>
          <w:szCs w:val="18"/>
        </w:rPr>
        <w:t>Гаранцията е валидна само за повреди, дължащи се на производствен дефект, който се е проявил в гаранционния срок.  Важно: Гаранцията за продуктите включва само фабрични дефекти, но не и дефекти възникнали след неправилна  употреба, били те умишлени или не. Като дефекти възникнали след неправилна употреба спадат счупване, напукване, надраскване, оцветяване,замърсяване, поява на неравности, късане на кабели и други подобни</w:t>
      </w:r>
    </w:p>
    <w:p>
      <w:pPr>
        <w:pStyle w:val="Normal"/>
        <w:numPr>
          <w:ilvl w:val="0"/>
          <w:numId w:val="3"/>
        </w:numPr>
        <w:spacing w:lineRule="auto" w:line="240"/>
        <w:jc w:val="both"/>
        <w:rPr>
          <w:sz w:val="18"/>
          <w:szCs w:val="18"/>
        </w:rPr>
      </w:pPr>
      <w:r>
        <w:rPr>
          <w:sz w:val="18"/>
          <w:szCs w:val="18"/>
        </w:rPr>
        <w:t>Претенции за не окомплектованост на изделието се обслужват само в момента на неговото закупуване.</w:t>
      </w:r>
    </w:p>
    <w:p>
      <w:pPr>
        <w:pStyle w:val="Normal"/>
        <w:numPr>
          <w:ilvl w:val="0"/>
          <w:numId w:val="3"/>
        </w:numPr>
        <w:spacing w:lineRule="auto" w:line="240"/>
        <w:jc w:val="both"/>
        <w:rPr>
          <w:sz w:val="18"/>
          <w:szCs w:val="18"/>
        </w:rPr>
      </w:pPr>
      <w:r>
        <w:rPr>
          <w:sz w:val="18"/>
          <w:szCs w:val="18"/>
        </w:rPr>
        <w:t>Гаранцията важи само за производствени дефекти, установени при отваряне на продукта от служител на    оторизиран сервизен център (сервизните центрове са посочени в края на гаранционната карта на стр. 4).</w:t>
      </w:r>
    </w:p>
    <w:p>
      <w:pPr>
        <w:pStyle w:val="Normal"/>
        <w:numPr>
          <w:ilvl w:val="0"/>
          <w:numId w:val="3"/>
        </w:numPr>
        <w:spacing w:lineRule="auto" w:line="240"/>
        <w:jc w:val="both"/>
        <w:rPr/>
      </w:pPr>
      <w:r>
        <w:rPr>
          <w:sz w:val="18"/>
          <w:szCs w:val="18"/>
        </w:rPr>
        <w:t>Гаранцията отпада при промяна на оригиналния вид на електрическата или конструкционната част, удължаваме на шаси, кормилен прът и др.). При продукти с липсващи етикети, указващи серийни номера или по друг начин специфициращи продукта, или липсващи предпазни стикери, или дефекти, причинени от неправилна употреба и съхранение, като напр.,но не само: пукнатини, цепнатини, усуквания, разглобявания или липсващи елемент, следи от изгаряне или проникване на течности, гаранцията отпада и е налице основание за отказ от гаранционно обслужван</w:t>
      </w:r>
      <w:r>
        <w:rPr>
          <w:sz w:val="18"/>
          <w:szCs w:val="18"/>
        </w:rPr>
        <w:t>е</w:t>
      </w:r>
    </w:p>
    <w:p>
      <w:pPr>
        <w:pStyle w:val="Normal"/>
        <w:numPr>
          <w:ilvl w:val="0"/>
          <w:numId w:val="3"/>
        </w:numPr>
        <w:spacing w:lineRule="auto" w:line="240"/>
        <w:jc w:val="both"/>
        <w:rPr/>
      </w:pPr>
      <w:r>
        <w:rPr>
          <w:b/>
          <w:bCs/>
          <w:sz w:val="18"/>
          <w:szCs w:val="18"/>
        </w:rPr>
        <w:t>Гаранционният срок е както следва:</w:t>
      </w:r>
    </w:p>
    <w:p>
      <w:pPr>
        <w:pStyle w:val="Normal"/>
        <w:spacing w:lineRule="auto" w:line="240"/>
        <w:jc w:val="both"/>
        <w:rPr>
          <w:sz w:val="18"/>
          <w:szCs w:val="18"/>
        </w:rPr>
      </w:pPr>
      <w:r>
        <w:rPr/>
      </w:r>
    </w:p>
    <w:p>
      <w:pPr>
        <w:pStyle w:val="Normal"/>
        <w:spacing w:lineRule="auto" w:line="240"/>
        <w:ind w:hanging="0" w:left="360" w:right="0"/>
        <w:rPr>
          <w:sz w:val="18"/>
          <w:szCs w:val="18"/>
        </w:rPr>
      </w:pPr>
      <w:r>
        <w:rPr>
          <w:b/>
          <w:bCs/>
          <w:sz w:val="18"/>
          <w:szCs w:val="18"/>
        </w:rPr>
        <w:t>8.1.</w:t>
      </w:r>
      <w:r>
        <w:rPr>
          <w:sz w:val="18"/>
          <w:szCs w:val="18"/>
        </w:rPr>
        <w:t xml:space="preserve">  За физически лица 24 (двадесет и четири) месеца за всички модели електрически скутери</w:t>
      </w:r>
    </w:p>
    <w:p>
      <w:pPr>
        <w:pStyle w:val="Normal"/>
        <w:spacing w:lineRule="auto" w:line="240"/>
        <w:ind w:hanging="0" w:left="360" w:right="0"/>
        <w:rPr>
          <w:sz w:val="18"/>
          <w:szCs w:val="18"/>
        </w:rPr>
      </w:pPr>
      <w:r>
        <w:rPr>
          <w:b/>
          <w:bCs/>
          <w:sz w:val="18"/>
          <w:szCs w:val="18"/>
        </w:rPr>
        <w:t xml:space="preserve">8.2  </w:t>
      </w:r>
      <w:r>
        <w:rPr>
          <w:sz w:val="18"/>
          <w:szCs w:val="18"/>
        </w:rPr>
        <w:t xml:space="preserve"> За юридически лица 12 ( дванадесет) месеца)  за всички модели скутери. </w:t>
      </w:r>
    </w:p>
    <w:p>
      <w:pPr>
        <w:pStyle w:val="Normal"/>
        <w:spacing w:lineRule="auto" w:line="240"/>
        <w:ind w:hanging="0" w:left="360" w:right="0"/>
        <w:rPr>
          <w:sz w:val="18"/>
          <w:szCs w:val="18"/>
        </w:rPr>
      </w:pPr>
      <w:r>
        <w:rPr>
          <w:b/>
          <w:bCs/>
          <w:sz w:val="18"/>
          <w:szCs w:val="18"/>
        </w:rPr>
        <w:t>8.3.</w:t>
      </w:r>
      <w:r>
        <w:rPr>
          <w:sz w:val="18"/>
          <w:szCs w:val="18"/>
        </w:rPr>
        <w:t xml:space="preserve">  За физически и юридически лица - 12 (дванадесет) месеца за -  Батерия.</w:t>
      </w:r>
    </w:p>
    <w:p>
      <w:pPr>
        <w:pStyle w:val="Normal"/>
        <w:spacing w:lineRule="auto" w:line="240"/>
        <w:ind w:hanging="0" w:left="360" w:right="0"/>
        <w:jc w:val="both"/>
        <w:rPr>
          <w:sz w:val="18"/>
          <w:szCs w:val="18"/>
        </w:rPr>
      </w:pPr>
      <w:r>
        <w:rPr>
          <w:sz w:val="18"/>
          <w:szCs w:val="18"/>
        </w:rPr>
        <w:t>Дълготрайността на батерията и нейните характеристики зависят изцяло от спазването на правилата за експлоатация, описани в ръководството за употреба, на хартиен или друг носител. Батерията се подменя в рамките на гаранцията, в случай, че капацитетът и е с 65% или по-малко, спрямо капацитетът и по техническа спецификация.</w:t>
      </w:r>
    </w:p>
    <w:p>
      <w:pPr>
        <w:pStyle w:val="Normal"/>
        <w:spacing w:lineRule="auto" w:line="240"/>
        <w:ind w:hanging="0" w:left="360" w:right="0"/>
        <w:rPr>
          <w:sz w:val="18"/>
          <w:szCs w:val="18"/>
        </w:rPr>
      </w:pPr>
      <w:r>
        <w:rPr>
          <w:b/>
          <w:bCs/>
          <w:sz w:val="18"/>
          <w:szCs w:val="18"/>
        </w:rPr>
        <w:t>8.4</w:t>
      </w:r>
      <w:r>
        <w:rPr>
          <w:sz w:val="18"/>
          <w:szCs w:val="18"/>
        </w:rPr>
        <w:t xml:space="preserve"> Гаранция на спирачни апарати за физически и юридически лица е 180 дни (6 месеца)  от дата на покупка.</w:t>
      </w:r>
    </w:p>
    <w:p>
      <w:pPr>
        <w:pStyle w:val="Normal"/>
        <w:spacing w:lineRule="auto" w:line="240"/>
        <w:ind w:firstLine="360" w:left="0" w:right="0"/>
        <w:jc w:val="both"/>
        <w:rPr/>
      </w:pPr>
      <w:r>
        <w:rPr>
          <w:b/>
          <w:bCs/>
          <w:sz w:val="18"/>
          <w:szCs w:val="18"/>
        </w:rPr>
        <w:t>9</w:t>
      </w:r>
      <w:r>
        <w:rPr>
          <w:b/>
          <w:bCs/>
          <w:sz w:val="20"/>
          <w:szCs w:val="20"/>
        </w:rPr>
        <w:t>.Гаранцията изключва:</w:t>
      </w:r>
    </w:p>
    <w:p>
      <w:pPr>
        <w:pStyle w:val="Normal"/>
        <w:numPr>
          <w:ilvl w:val="0"/>
          <w:numId w:val="1"/>
        </w:numPr>
        <w:spacing w:lineRule="auto" w:line="240"/>
        <w:jc w:val="both"/>
        <w:rPr>
          <w:sz w:val="18"/>
          <w:szCs w:val="18"/>
        </w:rPr>
      </w:pPr>
      <w:r>
        <w:rPr>
          <w:sz w:val="18"/>
          <w:szCs w:val="18"/>
        </w:rPr>
        <w:t>съставни части и консумативи, като - гуми (вътрешни/външни) калници, гумени дръжки и основа против подхлъзване; декоративни елементи и покрития - стикери, боя и други; USB портове; степенка; не задвижващо колело; окачване; грешки в софтуера;</w:t>
      </w:r>
    </w:p>
    <w:p>
      <w:pPr>
        <w:pStyle w:val="Normal"/>
        <w:numPr>
          <w:ilvl w:val="0"/>
          <w:numId w:val="1"/>
        </w:numPr>
        <w:spacing w:lineRule="auto" w:line="240"/>
        <w:jc w:val="both"/>
        <w:rPr>
          <w:sz w:val="18"/>
          <w:szCs w:val="18"/>
        </w:rPr>
      </w:pPr>
      <w:r>
        <w:rPr>
          <w:sz w:val="18"/>
          <w:szCs w:val="18"/>
        </w:rPr>
        <w:t>Прегряване  на електрически компоненти в следствие от претоварване.</w:t>
      </w:r>
    </w:p>
    <w:p>
      <w:pPr>
        <w:pStyle w:val="Normal"/>
        <w:numPr>
          <w:ilvl w:val="0"/>
          <w:numId w:val="1"/>
        </w:numPr>
        <w:spacing w:lineRule="auto" w:line="240"/>
        <w:jc w:val="both"/>
        <w:rPr>
          <w:sz w:val="18"/>
          <w:szCs w:val="18"/>
        </w:rPr>
      </w:pPr>
      <w:r>
        <w:rPr>
          <w:sz w:val="18"/>
          <w:szCs w:val="18"/>
        </w:rPr>
        <w:t>периодична поддръжка, поправка или подмяна на части, поради нормално им износване;</w:t>
      </w:r>
    </w:p>
    <w:p>
      <w:pPr>
        <w:pStyle w:val="Normal"/>
        <w:numPr>
          <w:ilvl w:val="0"/>
          <w:numId w:val="1"/>
        </w:numPr>
        <w:spacing w:lineRule="auto" w:line="240"/>
        <w:jc w:val="both"/>
        <w:rPr>
          <w:sz w:val="18"/>
          <w:szCs w:val="18"/>
        </w:rPr>
      </w:pPr>
      <w:r>
        <w:rPr>
          <w:sz w:val="18"/>
          <w:szCs w:val="18"/>
        </w:rPr>
        <w:t>повреди, причинени от неправилна употреба и в нарушение с указанията в Ръководството за употреба. Продуктът трябва да се използва според указанията в Ръководството на потребителя;</w:t>
      </w:r>
    </w:p>
    <w:p>
      <w:pPr>
        <w:pStyle w:val="Normal"/>
        <w:numPr>
          <w:ilvl w:val="0"/>
          <w:numId w:val="1"/>
        </w:numPr>
        <w:spacing w:lineRule="auto" w:line="240"/>
        <w:jc w:val="both"/>
        <w:rPr/>
      </w:pPr>
      <w:r>
        <w:rPr>
          <w:sz w:val="18"/>
          <w:szCs w:val="18"/>
        </w:rPr>
        <w:t xml:space="preserve">повреди, в следствие не спазване на инструкциите на </w:t>
      </w:r>
      <w:r>
        <w:rPr>
          <w:b/>
          <w:sz w:val="18"/>
          <w:szCs w:val="18"/>
        </w:rPr>
        <w:t>Ерайдър ООД</w:t>
      </w:r>
      <w:r>
        <w:rPr>
          <w:sz w:val="18"/>
          <w:szCs w:val="18"/>
        </w:rPr>
        <w:t xml:space="preserve"> за правилна поддръжка на продукта;</w:t>
      </w:r>
    </w:p>
    <w:p>
      <w:pPr>
        <w:pStyle w:val="Normal"/>
        <w:numPr>
          <w:ilvl w:val="0"/>
          <w:numId w:val="1"/>
        </w:numPr>
        <w:spacing w:lineRule="auto" w:line="240"/>
        <w:jc w:val="both"/>
        <w:rPr/>
      </w:pPr>
      <w:r>
        <w:rPr>
          <w:sz w:val="18"/>
          <w:szCs w:val="18"/>
        </w:rPr>
        <w:t>повреди, поради невнимание или в резултат на природни бедствия (мълния, наводнение, пожар и други независещи от</w:t>
      </w:r>
      <w:r>
        <w:rPr>
          <w:b/>
          <w:sz w:val="18"/>
          <w:szCs w:val="18"/>
        </w:rPr>
        <w:t xml:space="preserve"> Ерайдър ООД</w:t>
      </w:r>
      <w:r>
        <w:rPr>
          <w:sz w:val="18"/>
          <w:szCs w:val="18"/>
        </w:rPr>
        <w:t xml:space="preserve"> причини).  </w:t>
      </w:r>
    </w:p>
    <w:p>
      <w:pPr>
        <w:pStyle w:val="Normal"/>
        <w:spacing w:lineRule="auto" w:line="240"/>
        <w:ind w:hanging="0" w:left="360" w:right="0"/>
        <w:jc w:val="both"/>
        <w:rPr/>
      </w:pPr>
      <w:r>
        <w:rPr>
          <w:b/>
          <w:bCs/>
          <w:sz w:val="18"/>
          <w:szCs w:val="18"/>
        </w:rPr>
        <w:t>10.</w:t>
      </w:r>
      <w:r>
        <w:rPr>
          <w:sz w:val="18"/>
          <w:szCs w:val="18"/>
        </w:rPr>
        <w:t>Изделието се приема за гаранционен ремонт само в опаковка, гарантираща безопасното му транспортиране.</w:t>
      </w:r>
    </w:p>
    <w:p>
      <w:pPr>
        <w:pStyle w:val="Normal"/>
        <w:spacing w:lineRule="auto" w:line="240"/>
        <w:ind w:hanging="0" w:left="360" w:right="0"/>
        <w:jc w:val="both"/>
        <w:rPr/>
      </w:pPr>
      <w:r>
        <w:rPr>
          <w:b/>
          <w:bCs/>
          <w:sz w:val="18"/>
          <w:szCs w:val="18"/>
        </w:rPr>
        <w:t>11</w:t>
      </w:r>
      <w:r>
        <w:rPr>
          <w:sz w:val="18"/>
          <w:szCs w:val="18"/>
        </w:rPr>
        <w:t>.Гаранционното обслужване се осъществява само в сервизните центрове на Продавача.</w:t>
      </w:r>
    </w:p>
    <w:p>
      <w:pPr>
        <w:pStyle w:val="Normal"/>
        <w:spacing w:lineRule="auto" w:line="240"/>
        <w:ind w:hanging="0" w:left="360" w:right="0"/>
        <w:jc w:val="both"/>
        <w:rPr/>
      </w:pPr>
      <w:r>
        <w:rPr>
          <w:b/>
          <w:bCs/>
          <w:sz w:val="18"/>
          <w:szCs w:val="18"/>
        </w:rPr>
        <w:t>12</w:t>
      </w:r>
      <w:r>
        <w:rPr>
          <w:sz w:val="18"/>
          <w:szCs w:val="18"/>
        </w:rPr>
        <w:t>.Повреди, дължащи се на лош транспорт,неподходящо съхранение, неспазване на указанията в съпровождащата документация, не заземяване, неизправности в електрическата мрежа, природни бедствия и форсмажорни обстоятелства, ползване на некачествени консумативи, опит за отстраняване на дефект от неупълномощени лица или по други причини, независещи от Продавача, се отстраняват за сметка на клиента.</w:t>
      </w:r>
    </w:p>
    <w:p>
      <w:pPr>
        <w:pStyle w:val="Normal"/>
        <w:spacing w:lineRule="auto" w:line="240"/>
        <w:ind w:hanging="0" w:left="360" w:right="0"/>
        <w:jc w:val="both"/>
        <w:rPr/>
      </w:pPr>
      <w:r>
        <w:rPr>
          <w:b/>
          <w:bCs/>
          <w:sz w:val="18"/>
          <w:szCs w:val="18"/>
        </w:rPr>
        <w:t>13</w:t>
      </w:r>
      <w:r>
        <w:rPr>
          <w:sz w:val="18"/>
          <w:szCs w:val="18"/>
        </w:rPr>
        <w:t>.Ако в гаранционния срок продуктът бъде продаден от Купувача на трето лице, по отношение на него не започва да тече нов гаранционен срок а трябва да се уведоми Продавача и да се издаде протокол за смяна на собственоста в център на Ерайдър или партньор с/у съответна такса. След това на лицето закупило изделието се продължава остатъчният гаранционен срок.</w:t>
      </w:r>
    </w:p>
    <w:p>
      <w:pPr>
        <w:pStyle w:val="Normal"/>
        <w:spacing w:lineRule="auto" w:line="240"/>
        <w:ind w:hanging="0" w:left="360" w:right="0"/>
        <w:jc w:val="both"/>
        <w:rPr/>
      </w:pPr>
      <w:r>
        <w:rPr>
          <w:b/>
          <w:bCs/>
          <w:sz w:val="18"/>
          <w:szCs w:val="18"/>
        </w:rPr>
        <w:t>14</w:t>
      </w:r>
      <w:r>
        <w:rPr>
          <w:sz w:val="18"/>
          <w:szCs w:val="18"/>
        </w:rPr>
        <w:t>.Продавачът не носи отговорност за възможни материални и нематериални щети, както и за пропуснати ползи, вследствие на невъзможността на Купувача да използва изделието.</w:t>
      </w:r>
    </w:p>
    <w:p>
      <w:pPr>
        <w:pStyle w:val="Normal"/>
        <w:spacing w:lineRule="auto" w:line="240"/>
        <w:ind w:hanging="0" w:left="360" w:right="0"/>
        <w:jc w:val="both"/>
        <w:rPr>
          <w:b/>
          <w:bCs/>
          <w:sz w:val="18"/>
          <w:szCs w:val="18"/>
        </w:rPr>
      </w:pPr>
      <w:r>
        <w:rPr>
          <w:b/>
          <w:bCs/>
          <w:sz w:val="18"/>
          <w:szCs w:val="18"/>
        </w:rPr>
        <w:t>15.При софтуерни проблеми на продукта (неправилен ъпдейт от клиента) Ерайдър ООД не носи отговорност и не се покрива от гаранцията.</w:t>
      </w:r>
    </w:p>
    <w:p>
      <w:pPr>
        <w:pStyle w:val="Normal"/>
        <w:spacing w:lineRule="auto" w:line="240"/>
        <w:ind w:hanging="0" w:left="360" w:right="0"/>
        <w:jc w:val="both"/>
        <w:rPr>
          <w:sz w:val="18"/>
          <w:szCs w:val="18"/>
        </w:rPr>
      </w:pPr>
      <w:r>
        <w:rPr>
          <w:sz w:val="18"/>
          <w:szCs w:val="18"/>
        </w:rPr>
      </w:r>
    </w:p>
    <w:p>
      <w:pPr>
        <w:pStyle w:val="Normal"/>
        <w:spacing w:lineRule="auto" w:line="240" w:before="0" w:after="240"/>
        <w:rPr>
          <w:b/>
          <w:sz w:val="21"/>
          <w:szCs w:val="21"/>
        </w:rPr>
      </w:pPr>
      <w:r>
        <w:rPr>
          <w:b/>
          <w:sz w:val="21"/>
          <w:szCs w:val="21"/>
        </w:rPr>
        <w:t>ВРЪЩАНЕ И РЕМОНТ ПО ГАРАНЦИЯ</w:t>
      </w:r>
    </w:p>
    <w:p>
      <w:pPr>
        <w:pStyle w:val="Normal"/>
        <w:spacing w:lineRule="auto" w:line="240"/>
        <w:ind w:hanging="0" w:left="284" w:right="0"/>
        <w:jc w:val="both"/>
        <w:rPr/>
      </w:pPr>
      <w:r>
        <w:rPr>
          <w:b/>
          <w:bCs/>
          <w:sz w:val="18"/>
          <w:szCs w:val="18"/>
        </w:rPr>
        <w:t>1</w:t>
      </w:r>
      <w:r>
        <w:rPr>
          <w:sz w:val="18"/>
          <w:szCs w:val="18"/>
        </w:rPr>
        <w:t>.</w:t>
      </w:r>
      <w:r>
        <w:rPr>
          <w:sz w:val="18"/>
          <w:szCs w:val="18"/>
          <w:lang w:val="en-US"/>
        </w:rPr>
        <w:t>Когато</w:t>
      </w:r>
      <w:r>
        <w:rPr>
          <w:sz w:val="18"/>
          <w:szCs w:val="18"/>
          <w:lang w:val="bg-BG"/>
        </w:rPr>
        <w:t xml:space="preserve"> проблема( несъответствието) </w:t>
      </w:r>
      <w:r>
        <w:rPr>
          <w:sz w:val="18"/>
          <w:szCs w:val="18"/>
          <w:lang w:val="en-US"/>
        </w:rPr>
        <w:t>се отстранява чрез ремонт или замяна на сток</w:t>
      </w:r>
      <w:r>
        <w:rPr>
          <w:sz w:val="18"/>
          <w:szCs w:val="18"/>
          <w:lang w:val="bg-BG"/>
        </w:rPr>
        <w:t>ата</w:t>
      </w:r>
      <w:r>
        <w:rPr>
          <w:sz w:val="18"/>
          <w:szCs w:val="18"/>
          <w:lang w:val="en-US"/>
        </w:rPr>
        <w:t>, потребителят предоставя сток</w:t>
      </w:r>
      <w:r>
        <w:rPr>
          <w:sz w:val="18"/>
          <w:szCs w:val="18"/>
          <w:lang w:val="bg-BG"/>
        </w:rPr>
        <w:t>ата</w:t>
      </w:r>
      <w:r>
        <w:rPr>
          <w:sz w:val="18"/>
          <w:szCs w:val="18"/>
          <w:lang w:val="en-US"/>
        </w:rPr>
        <w:t xml:space="preserve"> на разположение на продавача. При замяна на сток</w:t>
      </w:r>
      <w:r>
        <w:rPr>
          <w:sz w:val="18"/>
          <w:szCs w:val="18"/>
          <w:lang w:val="bg-BG"/>
        </w:rPr>
        <w:t>а</w:t>
      </w:r>
      <w:r>
        <w:rPr>
          <w:sz w:val="18"/>
          <w:szCs w:val="18"/>
          <w:lang w:val="en-US"/>
        </w:rPr>
        <w:t xml:space="preserve"> продавач</w:t>
      </w:r>
      <w:r>
        <w:rPr>
          <w:sz w:val="18"/>
          <w:szCs w:val="18"/>
          <w:lang w:val="bg-BG"/>
        </w:rPr>
        <w:t>а</w:t>
      </w:r>
      <w:r>
        <w:rPr>
          <w:sz w:val="18"/>
          <w:szCs w:val="18"/>
          <w:lang w:val="en-US"/>
        </w:rPr>
        <w:t xml:space="preserve"> взема</w:t>
      </w:r>
      <w:r>
        <w:rPr>
          <w:sz w:val="18"/>
          <w:szCs w:val="18"/>
          <w:lang w:val="bg-BG"/>
        </w:rPr>
        <w:t xml:space="preserve"> стоката </w:t>
      </w:r>
      <w:r>
        <w:rPr>
          <w:sz w:val="18"/>
          <w:szCs w:val="18"/>
          <w:lang w:val="en-US"/>
        </w:rPr>
        <w:t>обратно от потребител</w:t>
      </w:r>
      <w:r>
        <w:rPr>
          <w:sz w:val="18"/>
          <w:szCs w:val="18"/>
          <w:lang w:val="bg-BG"/>
        </w:rPr>
        <w:t>я</w:t>
      </w:r>
      <w:r>
        <w:rPr>
          <w:sz w:val="18"/>
          <w:szCs w:val="18"/>
          <w:lang w:val="en-US"/>
        </w:rPr>
        <w:t xml:space="preserve"> за своя сметка.</w:t>
      </w:r>
    </w:p>
    <w:p>
      <w:pPr>
        <w:pStyle w:val="Normal"/>
        <w:spacing w:lineRule="auto" w:line="240"/>
        <w:ind w:hanging="0" w:left="284" w:right="0"/>
        <w:jc w:val="both"/>
        <w:rPr>
          <w:sz w:val="18"/>
          <w:szCs w:val="18"/>
        </w:rPr>
      </w:pPr>
      <w:r>
        <w:rPr>
          <w:sz w:val="18"/>
          <w:szCs w:val="18"/>
        </w:rPr>
      </w:r>
    </w:p>
    <w:p>
      <w:pPr>
        <w:pStyle w:val="Normal"/>
        <w:spacing w:lineRule="auto" w:line="240"/>
        <w:ind w:hanging="0" w:left="284" w:right="0"/>
        <w:jc w:val="both"/>
        <w:rPr/>
      </w:pPr>
      <w:r>
        <w:rPr>
          <w:b/>
          <w:bCs/>
          <w:sz w:val="18"/>
          <w:szCs w:val="18"/>
        </w:rPr>
        <w:t>2</w:t>
      </w:r>
      <w:r>
        <w:rPr>
          <w:sz w:val="18"/>
          <w:szCs w:val="18"/>
        </w:rPr>
        <w:t xml:space="preserve">.Поправката (ремонта) се извършва в рамките на </w:t>
      </w:r>
      <w:r>
        <w:rPr>
          <w:sz w:val="18"/>
          <w:szCs w:val="18"/>
          <w:lang w:val="en-US"/>
        </w:rPr>
        <w:t xml:space="preserve">30 </w:t>
      </w:r>
      <w:r>
        <w:rPr>
          <w:sz w:val="18"/>
          <w:szCs w:val="18"/>
          <w:lang w:val="bg-BG"/>
        </w:rPr>
        <w:t>работни дни</w:t>
      </w:r>
      <w:r>
        <w:rPr>
          <w:sz w:val="18"/>
          <w:szCs w:val="18"/>
        </w:rPr>
        <w:t>, считано от датата на направената от клиента рекламация, осъществена по реда на приложимото законодателство.</w:t>
      </w:r>
    </w:p>
    <w:p>
      <w:pPr>
        <w:pStyle w:val="Normal"/>
        <w:spacing w:lineRule="auto" w:line="240"/>
        <w:ind w:hanging="0" w:left="284" w:right="0"/>
        <w:rPr>
          <w:sz w:val="18"/>
          <w:szCs w:val="18"/>
        </w:rPr>
      </w:pPr>
      <w:r>
        <w:rPr>
          <w:b/>
          <w:bCs/>
          <w:sz w:val="18"/>
          <w:szCs w:val="18"/>
        </w:rPr>
        <w:t>3</w:t>
      </w:r>
      <w:r>
        <w:rPr>
          <w:sz w:val="18"/>
          <w:szCs w:val="18"/>
        </w:rPr>
        <w:t>.Връщане на гаранционен продукт до подателя за ремонт в случай, че клиента е от друго населено място, където няма гаранционен сервиз на фирмата продавач става при следните условия:</w:t>
      </w:r>
    </w:p>
    <w:p>
      <w:pPr>
        <w:pStyle w:val="Normal"/>
        <w:spacing w:lineRule="auto" w:line="240"/>
        <w:ind w:hanging="0" w:left="284" w:right="0"/>
        <w:jc w:val="both"/>
        <w:rPr>
          <w:sz w:val="18"/>
          <w:szCs w:val="18"/>
        </w:rPr>
      </w:pPr>
      <w:r>
        <w:rPr>
          <w:b/>
          <w:bCs/>
          <w:sz w:val="18"/>
          <w:szCs w:val="18"/>
        </w:rPr>
        <w:t>3.1</w:t>
      </w:r>
      <w:r>
        <w:rPr>
          <w:sz w:val="18"/>
          <w:szCs w:val="18"/>
        </w:rPr>
        <w:t xml:space="preserve"> В случай че настъпи гаранционно събитие (производствен дефект,или изгорял електрически компонент ) в 14 дневен срок от получаването на продукта, фирмата продавач поема всички транспортни и ремонтни разходи.</w:t>
      </w:r>
    </w:p>
    <w:p>
      <w:pPr>
        <w:pStyle w:val="Normal"/>
        <w:spacing w:lineRule="auto" w:line="240"/>
        <w:ind w:hanging="0" w:left="284" w:right="0"/>
        <w:jc w:val="both"/>
        <w:rPr>
          <w:sz w:val="18"/>
          <w:szCs w:val="18"/>
        </w:rPr>
      </w:pPr>
      <w:r>
        <w:rPr>
          <w:b/>
          <w:bCs/>
          <w:sz w:val="18"/>
          <w:szCs w:val="18"/>
        </w:rPr>
        <w:t>3.2</w:t>
      </w:r>
      <w:r>
        <w:rPr>
          <w:sz w:val="18"/>
          <w:szCs w:val="18"/>
        </w:rPr>
        <w:t xml:space="preserve"> Ако гаранционното събитие (производствен дефект или изгорял ел.компонент) е след този 14 дневен срок, фирмата продавач поема всички гаранционни и ремонтни разходи, а транспортните разходи по изпращане и връщане на продукта са за сметка на клиента.</w:t>
      </w:r>
    </w:p>
    <w:p>
      <w:pPr>
        <w:pStyle w:val="Normal"/>
        <w:spacing w:lineRule="auto" w:line="240"/>
        <w:jc w:val="both"/>
        <w:rPr>
          <w:sz w:val="18"/>
          <w:szCs w:val="18"/>
        </w:rPr>
      </w:pPr>
      <w:r>
        <w:rPr>
          <w:sz w:val="18"/>
          <w:szCs w:val="18"/>
        </w:rPr>
      </w:r>
    </w:p>
    <w:p>
      <w:pPr>
        <w:pStyle w:val="Normal"/>
        <w:spacing w:lineRule="auto" w:line="240"/>
        <w:jc w:val="both"/>
        <w:rPr>
          <w:sz w:val="18"/>
          <w:szCs w:val="18"/>
        </w:rPr>
      </w:pPr>
      <w:r>
        <w:rPr>
          <w:sz w:val="18"/>
          <w:szCs w:val="18"/>
        </w:rPr>
      </w:r>
    </w:p>
    <w:p>
      <w:pPr>
        <w:pStyle w:val="Normal"/>
        <w:spacing w:lineRule="auto" w:line="240"/>
        <w:jc w:val="both"/>
        <w:rPr>
          <w:sz w:val="18"/>
          <w:szCs w:val="18"/>
        </w:rPr>
      </w:pPr>
      <w:r>
        <w:rPr>
          <w:sz w:val="18"/>
          <w:szCs w:val="18"/>
        </w:rPr>
      </w:r>
    </w:p>
    <w:p>
      <w:pPr>
        <w:pStyle w:val="Normal"/>
        <w:spacing w:lineRule="auto" w:line="240"/>
        <w:jc w:val="both"/>
        <w:rPr>
          <w:sz w:val="18"/>
          <w:szCs w:val="18"/>
        </w:rPr>
      </w:pPr>
      <w:r>
        <w:rPr>
          <w:sz w:val="18"/>
          <w:szCs w:val="18"/>
        </w:rPr>
      </w:r>
    </w:p>
    <w:p>
      <w:pPr>
        <w:pStyle w:val="Normal"/>
        <w:spacing w:lineRule="auto" w:line="240"/>
        <w:jc w:val="both"/>
        <w:rPr>
          <w:sz w:val="18"/>
          <w:szCs w:val="18"/>
        </w:rPr>
      </w:pPr>
      <w:r>
        <w:rPr>
          <w:sz w:val="18"/>
          <w:szCs w:val="18"/>
        </w:rPr>
      </w:r>
    </w:p>
    <w:p>
      <w:pPr>
        <w:pStyle w:val="Normal"/>
        <w:spacing w:lineRule="auto" w:line="240"/>
        <w:jc w:val="both"/>
        <w:rPr>
          <w:sz w:val="20"/>
          <w:szCs w:val="20"/>
        </w:rPr>
      </w:pPr>
      <w:r>
        <w:rPr>
          <w:sz w:val="20"/>
          <w:szCs w:val="20"/>
        </w:rPr>
      </w:r>
    </w:p>
    <w:p>
      <w:pPr>
        <w:pStyle w:val="Normal"/>
        <w:spacing w:lineRule="auto" w:line="240"/>
        <w:jc w:val="center"/>
        <w:rPr>
          <w:b/>
          <w:sz w:val="20"/>
          <w:szCs w:val="20"/>
        </w:rPr>
      </w:pPr>
      <w:r>
        <w:rPr>
          <w:b/>
          <w:sz w:val="20"/>
          <w:szCs w:val="20"/>
        </w:rPr>
        <w:t>ПРАВА НА ПОТРЕБИТЕЛЯ СЪГЛАСНО ЗПЦСЦУПС</w:t>
      </w:r>
    </w:p>
    <w:p>
      <w:pPr>
        <w:pStyle w:val="Normal"/>
        <w:spacing w:lineRule="auto" w:line="240"/>
        <w:jc w:val="center"/>
        <w:rPr>
          <w:b/>
          <w:sz w:val="18"/>
          <w:szCs w:val="18"/>
        </w:rPr>
      </w:pPr>
      <w:r>
        <w:rPr>
          <w:b/>
          <w:sz w:val="18"/>
          <w:szCs w:val="18"/>
        </w:rPr>
      </w:r>
    </w:p>
    <w:p>
      <w:pPr>
        <w:pStyle w:val="Normal"/>
        <w:spacing w:lineRule="auto" w:line="240"/>
        <w:jc w:val="both"/>
        <w:rPr/>
      </w:pPr>
      <w:r>
        <w:rPr>
          <w:b/>
          <w:bCs/>
          <w:sz w:val="18"/>
          <w:szCs w:val="18"/>
        </w:rPr>
        <w:t>Чл. 33.</w:t>
      </w:r>
      <w:r>
        <w:rPr>
          <w:sz w:val="18"/>
          <w:szCs w:val="18"/>
        </w:rPr>
        <w:t xml:space="preserve"> (1) Когато стоките не отговарят на индивидуалните изисквания за съответствие с договора, на обективните изисквания за съответствие и на изискванията за монтиране или инсталиране на стоките, потребителят има право:</w:t>
      </w:r>
      <w:bookmarkStart w:id="2" w:name="_heading=h.1fob9te"/>
      <w:bookmarkEnd w:id="2"/>
      <w:r>
        <w:rPr>
          <w:sz w:val="18"/>
          <w:szCs w:val="18"/>
        </w:rPr>
        <w:t xml:space="preserve"> </w:t>
      </w:r>
      <w:r>
        <w:rPr>
          <w:b/>
          <w:bCs/>
          <w:sz w:val="18"/>
          <w:szCs w:val="18"/>
        </w:rPr>
        <w:t>1</w:t>
      </w:r>
      <w:r>
        <w:rPr>
          <w:sz w:val="18"/>
          <w:szCs w:val="18"/>
        </w:rPr>
        <w:t>.да предяви рекламация, като поиска от продавача да приведе стоката в съответствие;</w:t>
      </w:r>
    </w:p>
    <w:p>
      <w:pPr>
        <w:pStyle w:val="Normal"/>
        <w:jc w:val="both"/>
        <w:rPr/>
      </w:pPr>
      <w:r>
        <w:rPr>
          <w:b/>
          <w:bCs/>
          <w:sz w:val="18"/>
          <w:szCs w:val="18"/>
        </w:rPr>
        <w:t>2.</w:t>
      </w:r>
      <w:r>
        <w:rPr>
          <w:sz w:val="18"/>
          <w:szCs w:val="18"/>
        </w:rPr>
        <w:t xml:space="preserve"> да получи пропорционално намаляване на цената;</w:t>
      </w:r>
    </w:p>
    <w:p>
      <w:pPr>
        <w:pStyle w:val="Normal"/>
        <w:jc w:val="both"/>
        <w:rPr/>
      </w:pPr>
      <w:r>
        <w:rPr>
          <w:b/>
          <w:bCs/>
          <w:sz w:val="18"/>
          <w:szCs w:val="18"/>
        </w:rPr>
        <w:t>3</w:t>
      </w:r>
      <w:r>
        <w:rPr>
          <w:sz w:val="18"/>
          <w:szCs w:val="18"/>
        </w:rPr>
        <w:t>. да развали договора.</w:t>
      </w:r>
    </w:p>
    <w:p>
      <w:pPr>
        <w:pStyle w:val="Normal"/>
        <w:rPr>
          <w:sz w:val="18"/>
          <w:szCs w:val="18"/>
        </w:rPr>
      </w:pPr>
      <w:r>
        <w:rPr>
          <w:sz w:val="18"/>
          <w:szCs w:val="18"/>
        </w:rPr>
        <w:t>Препоръчително е преди да посетите сервиз да се свържете с него на посочените по-долу или в сайта телефон или имейл</w:t>
      </w:r>
    </w:p>
    <w:p>
      <w:pPr>
        <w:pStyle w:val="Normal"/>
        <w:rPr>
          <w:b/>
          <w:sz w:val="20"/>
          <w:szCs w:val="20"/>
        </w:rPr>
      </w:pPr>
      <w:r>
        <w:rPr>
          <w:b/>
          <w:sz w:val="20"/>
          <w:szCs w:val="20"/>
        </w:rPr>
        <w:t>СЕРВИЗНИ ЦЕНТРОВЕ</w:t>
      </w:r>
    </w:p>
    <w:tbl>
      <w:tblPr>
        <w:tblW w:w="9991" w:type="dxa"/>
        <w:jc w:val="left"/>
        <w:tblInd w:w="-217" w:type="dxa"/>
        <w:tblLayout w:type="fixed"/>
        <w:tblCellMar>
          <w:top w:w="0" w:type="dxa"/>
          <w:left w:w="108" w:type="dxa"/>
          <w:bottom w:w="0" w:type="dxa"/>
          <w:right w:w="108" w:type="dxa"/>
        </w:tblCellMar>
      </w:tblPr>
      <w:tblGrid>
        <w:gridCol w:w="4500"/>
        <w:gridCol w:w="5205"/>
        <w:gridCol w:w="286"/>
      </w:tblGrid>
      <w:tr>
        <w:trPr>
          <w:trHeight w:val="516" w:hRule="atLeast"/>
        </w:trPr>
        <w:tc>
          <w:tcPr>
            <w:tcW w:w="4500" w:type="dxa"/>
            <w:tcBorders>
              <w:top w:val="single" w:sz="8" w:space="0" w:color="000000"/>
              <w:left w:val="single" w:sz="8" w:space="0" w:color="000000"/>
              <w:bottom w:val="single" w:sz="8" w:space="0" w:color="000000"/>
              <w:right w:val="single" w:sz="8" w:space="0" w:color="000000"/>
            </w:tcBorders>
          </w:tcPr>
          <w:p>
            <w:pPr>
              <w:pStyle w:val="Normal"/>
              <w:widowControl w:val="false"/>
              <w:spacing w:before="0" w:after="240"/>
              <w:rPr>
                <w:b/>
                <w:sz w:val="16"/>
                <w:szCs w:val="16"/>
              </w:rPr>
            </w:pPr>
            <w:r>
              <w:rPr>
                <w:b/>
                <w:sz w:val="16"/>
                <w:szCs w:val="16"/>
              </w:rPr>
              <w:t>София -Ерайдър</w:t>
            </w:r>
          </w:p>
        </w:tc>
        <w:tc>
          <w:tcPr>
            <w:tcW w:w="5205" w:type="dxa"/>
            <w:tcBorders>
              <w:top w:val="single" w:sz="8" w:space="0" w:color="000000"/>
              <w:left w:val="single" w:sz="8" w:space="0" w:color="000000"/>
              <w:bottom w:val="single" w:sz="8" w:space="0" w:color="000000"/>
              <w:right w:val="single" w:sz="8" w:space="0" w:color="000000"/>
            </w:tcBorders>
          </w:tcPr>
          <w:p>
            <w:pPr>
              <w:pStyle w:val="Normal"/>
              <w:widowControl w:val="false"/>
              <w:rPr>
                <w:b/>
                <w:sz w:val="16"/>
                <w:szCs w:val="16"/>
              </w:rPr>
            </w:pPr>
            <w:r>
              <w:rPr>
                <w:b/>
                <w:sz w:val="16"/>
                <w:szCs w:val="16"/>
              </w:rPr>
              <w:t>бул.Гоце Делчев 76 - тел. 0883699778</w:t>
            </w:r>
          </w:p>
          <w:p>
            <w:pPr>
              <w:pStyle w:val="Normal"/>
              <w:widowControl w:val="false"/>
              <w:rPr>
                <w:b/>
                <w:sz w:val="16"/>
                <w:szCs w:val="16"/>
              </w:rPr>
            </w:pPr>
            <w:r>
              <w:rPr>
                <w:b/>
                <w:sz w:val="16"/>
                <w:szCs w:val="16"/>
              </w:rPr>
            </w:r>
          </w:p>
        </w:tc>
        <w:tc>
          <w:tcPr>
            <w:tcW w:w="286" w:type="dxa"/>
            <w:tcBorders/>
          </w:tcPr>
          <w:p>
            <w:pPr>
              <w:pStyle w:val="Normal"/>
              <w:widowControl w:val="false"/>
              <w:spacing w:before="0" w:after="240"/>
              <w:rPr>
                <w:b/>
                <w:sz w:val="16"/>
                <w:szCs w:val="16"/>
              </w:rPr>
            </w:pPr>
            <w:r>
              <w:rPr>
                <w:b/>
                <w:sz w:val="16"/>
                <w:szCs w:val="16"/>
              </w:rPr>
            </w:r>
          </w:p>
        </w:tc>
      </w:tr>
      <w:tr>
        <w:trPr>
          <w:trHeight w:val="446" w:hRule="atLeast"/>
        </w:trPr>
        <w:tc>
          <w:tcPr>
            <w:tcW w:w="4500" w:type="dxa"/>
            <w:tcBorders>
              <w:top w:val="single" w:sz="8" w:space="0" w:color="000000"/>
              <w:left w:val="single" w:sz="8" w:space="0" w:color="000000"/>
              <w:bottom w:val="single" w:sz="8" w:space="0" w:color="000000"/>
              <w:right w:val="single" w:sz="8" w:space="0" w:color="000000"/>
            </w:tcBorders>
          </w:tcPr>
          <w:p>
            <w:pPr>
              <w:pStyle w:val="Normal"/>
              <w:widowControl w:val="false"/>
              <w:spacing w:before="0" w:after="240"/>
              <w:rPr>
                <w:b/>
                <w:sz w:val="16"/>
                <w:szCs w:val="16"/>
              </w:rPr>
            </w:pPr>
            <w:r>
              <w:rPr>
                <w:b/>
                <w:sz w:val="16"/>
                <w:szCs w:val="16"/>
              </w:rPr>
              <w:t>Пловдив - Go Electric Plovdiv</w:t>
            </w:r>
          </w:p>
        </w:tc>
        <w:tc>
          <w:tcPr>
            <w:tcW w:w="5205" w:type="dxa"/>
            <w:tcBorders>
              <w:top w:val="single" w:sz="8" w:space="0" w:color="000000"/>
              <w:left w:val="single" w:sz="8" w:space="0" w:color="000000"/>
              <w:bottom w:val="single" w:sz="8" w:space="0" w:color="000000"/>
              <w:right w:val="single" w:sz="8" w:space="0" w:color="000000"/>
            </w:tcBorders>
          </w:tcPr>
          <w:p>
            <w:pPr>
              <w:pStyle w:val="Normal"/>
              <w:widowControl w:val="false"/>
              <w:rPr>
                <w:b/>
                <w:sz w:val="16"/>
                <w:szCs w:val="16"/>
              </w:rPr>
            </w:pPr>
            <w:r>
              <w:rPr>
                <w:b/>
                <w:sz w:val="16"/>
                <w:szCs w:val="16"/>
              </w:rPr>
              <w:t>ул.Средец 60 - тел. 0876583758</w:t>
            </w:r>
          </w:p>
          <w:p>
            <w:pPr>
              <w:pStyle w:val="Normal"/>
              <w:widowControl w:val="false"/>
              <w:rPr>
                <w:b/>
                <w:sz w:val="16"/>
                <w:szCs w:val="16"/>
              </w:rPr>
            </w:pPr>
            <w:r>
              <w:rPr>
                <w:b/>
                <w:sz w:val="16"/>
                <w:szCs w:val="16"/>
              </w:rPr>
            </w:r>
          </w:p>
        </w:tc>
        <w:tc>
          <w:tcPr>
            <w:tcW w:w="286" w:type="dxa"/>
            <w:tcBorders/>
          </w:tcPr>
          <w:p>
            <w:pPr>
              <w:pStyle w:val="Normal"/>
              <w:widowControl w:val="false"/>
              <w:spacing w:before="0" w:after="240"/>
              <w:rPr>
                <w:b/>
                <w:sz w:val="16"/>
                <w:szCs w:val="16"/>
              </w:rPr>
            </w:pPr>
            <w:r>
              <w:rPr>
                <w:b/>
                <w:sz w:val="16"/>
                <w:szCs w:val="16"/>
              </w:rPr>
            </w:r>
          </w:p>
        </w:tc>
      </w:tr>
      <w:tr>
        <w:trPr>
          <w:trHeight w:val="436" w:hRule="atLeast"/>
        </w:trPr>
        <w:tc>
          <w:tcPr>
            <w:tcW w:w="4500" w:type="dxa"/>
            <w:tcBorders>
              <w:top w:val="single" w:sz="8" w:space="0" w:color="000000"/>
              <w:left w:val="single" w:sz="8" w:space="0" w:color="000000"/>
              <w:bottom w:val="single" w:sz="8" w:space="0" w:color="000000"/>
              <w:right w:val="single" w:sz="8" w:space="0" w:color="000000"/>
            </w:tcBorders>
          </w:tcPr>
          <w:p>
            <w:pPr>
              <w:pStyle w:val="Normal"/>
              <w:widowControl w:val="false"/>
              <w:spacing w:before="0" w:after="240"/>
              <w:rPr>
                <w:b/>
                <w:sz w:val="16"/>
                <w:szCs w:val="16"/>
              </w:rPr>
            </w:pPr>
            <w:r>
              <w:rPr>
                <w:b/>
                <w:sz w:val="16"/>
                <w:szCs w:val="16"/>
              </w:rPr>
              <w:t>Варна - Power Service</w:t>
            </w:r>
          </w:p>
        </w:tc>
        <w:tc>
          <w:tcPr>
            <w:tcW w:w="5205" w:type="dxa"/>
            <w:tcBorders>
              <w:top w:val="single" w:sz="8" w:space="0" w:color="000000"/>
              <w:left w:val="single" w:sz="8" w:space="0" w:color="000000"/>
              <w:bottom w:val="single" w:sz="8" w:space="0" w:color="000000"/>
              <w:right w:val="single" w:sz="8" w:space="0" w:color="000000"/>
            </w:tcBorders>
          </w:tcPr>
          <w:p>
            <w:pPr>
              <w:pStyle w:val="Normal"/>
              <w:widowControl w:val="false"/>
              <w:rPr>
                <w:b/>
                <w:sz w:val="16"/>
                <w:szCs w:val="16"/>
              </w:rPr>
            </w:pPr>
            <w:r>
              <w:rPr>
                <w:b/>
                <w:sz w:val="16"/>
                <w:szCs w:val="16"/>
              </w:rPr>
              <w:t>ул. Братя Бъкстон 25 - тел. 0887992141,</w:t>
            </w:r>
          </w:p>
        </w:tc>
        <w:tc>
          <w:tcPr>
            <w:tcW w:w="286" w:type="dxa"/>
            <w:tcBorders/>
          </w:tcPr>
          <w:p>
            <w:pPr>
              <w:pStyle w:val="Normal"/>
              <w:widowControl w:val="false"/>
              <w:spacing w:before="0" w:after="240"/>
              <w:rPr>
                <w:b/>
                <w:sz w:val="16"/>
                <w:szCs w:val="16"/>
              </w:rPr>
            </w:pPr>
            <w:r>
              <w:rPr>
                <w:b/>
                <w:sz w:val="16"/>
                <w:szCs w:val="16"/>
              </w:rPr>
            </w:r>
          </w:p>
        </w:tc>
      </w:tr>
      <w:tr>
        <w:trPr>
          <w:trHeight w:val="504" w:hRule="atLeast"/>
        </w:trPr>
        <w:tc>
          <w:tcPr>
            <w:tcW w:w="4500" w:type="dxa"/>
            <w:tcBorders>
              <w:top w:val="single" w:sz="8" w:space="0" w:color="000000"/>
              <w:left w:val="single" w:sz="8" w:space="0" w:color="000000"/>
              <w:bottom w:val="single" w:sz="8" w:space="0" w:color="000000"/>
              <w:right w:val="single" w:sz="8" w:space="0" w:color="000000"/>
            </w:tcBorders>
          </w:tcPr>
          <w:p>
            <w:pPr>
              <w:pStyle w:val="Normal"/>
              <w:widowControl w:val="false"/>
              <w:spacing w:before="0" w:after="240"/>
              <w:rPr>
                <w:b/>
                <w:sz w:val="16"/>
                <w:szCs w:val="16"/>
              </w:rPr>
            </w:pPr>
            <w:r>
              <w:rPr>
                <w:b/>
                <w:sz w:val="16"/>
                <w:szCs w:val="16"/>
              </w:rPr>
              <w:t>Стара Загора - eRider</w:t>
            </w:r>
          </w:p>
        </w:tc>
        <w:tc>
          <w:tcPr>
            <w:tcW w:w="5205" w:type="dxa"/>
            <w:tcBorders>
              <w:top w:val="single" w:sz="8" w:space="0" w:color="000000"/>
              <w:left w:val="single" w:sz="8" w:space="0" w:color="000000"/>
              <w:bottom w:val="single" w:sz="8" w:space="0" w:color="000000"/>
              <w:right w:val="single" w:sz="8" w:space="0" w:color="000000"/>
            </w:tcBorders>
          </w:tcPr>
          <w:p>
            <w:pPr>
              <w:pStyle w:val="Normal"/>
              <w:widowControl w:val="false"/>
              <w:rPr>
                <w:b/>
                <w:sz w:val="16"/>
                <w:szCs w:val="16"/>
              </w:rPr>
            </w:pPr>
            <w:r>
              <w:rPr>
                <w:b/>
                <w:sz w:val="16"/>
                <w:szCs w:val="16"/>
              </w:rPr>
              <w:t>бул. Генерал Столетов 105 -тел. 0887991014,</w:t>
            </w:r>
          </w:p>
        </w:tc>
        <w:tc>
          <w:tcPr>
            <w:tcW w:w="286" w:type="dxa"/>
            <w:tcBorders/>
          </w:tcPr>
          <w:p>
            <w:pPr>
              <w:pStyle w:val="Normal"/>
              <w:widowControl w:val="false"/>
              <w:spacing w:before="0" w:after="240"/>
              <w:rPr>
                <w:b/>
                <w:sz w:val="16"/>
                <w:szCs w:val="16"/>
              </w:rPr>
            </w:pPr>
            <w:r>
              <w:rPr>
                <w:b/>
                <w:sz w:val="16"/>
                <w:szCs w:val="16"/>
              </w:rPr>
            </w:r>
          </w:p>
        </w:tc>
      </w:tr>
      <w:tr>
        <w:trPr>
          <w:trHeight w:val="504" w:hRule="atLeast"/>
        </w:trPr>
        <w:tc>
          <w:tcPr>
            <w:tcW w:w="4500" w:type="dxa"/>
            <w:tcBorders>
              <w:left w:val="single" w:sz="8" w:space="0" w:color="000000"/>
              <w:bottom w:val="single" w:sz="8" w:space="0" w:color="000000"/>
              <w:right w:val="single" w:sz="8" w:space="0" w:color="000000"/>
            </w:tcBorders>
          </w:tcPr>
          <w:p>
            <w:pPr>
              <w:pStyle w:val="Normal"/>
              <w:widowControl w:val="false"/>
              <w:spacing w:before="0" w:after="240"/>
              <w:rPr>
                <w:b/>
                <w:sz w:val="16"/>
                <w:szCs w:val="16"/>
              </w:rPr>
            </w:pPr>
            <w:r>
              <w:rPr>
                <w:b/>
                <w:sz w:val="16"/>
                <w:szCs w:val="16"/>
              </w:rPr>
              <w:t>Велико Търново - Ерайдър</w:t>
            </w:r>
          </w:p>
        </w:tc>
        <w:tc>
          <w:tcPr>
            <w:tcW w:w="5205" w:type="dxa"/>
            <w:tcBorders>
              <w:left w:val="single" w:sz="8" w:space="0" w:color="000000"/>
              <w:bottom w:val="single" w:sz="8" w:space="0" w:color="000000"/>
              <w:right w:val="single" w:sz="8" w:space="0" w:color="000000"/>
            </w:tcBorders>
          </w:tcPr>
          <w:p>
            <w:pPr>
              <w:pStyle w:val="Normal"/>
              <w:widowControl w:val="false"/>
              <w:rPr>
                <w:b/>
                <w:sz w:val="16"/>
                <w:szCs w:val="16"/>
              </w:rPr>
            </w:pPr>
            <w:r>
              <w:rPr>
                <w:b/>
                <w:sz w:val="16"/>
                <w:szCs w:val="16"/>
              </w:rPr>
              <w:t>Бул.Никола Габровски 42  -тел.</w:t>
            </w:r>
            <w:r>
              <w:rPr>
                <w:rStyle w:val="Strong"/>
                <w:rFonts w:ascii="Montserrat;Arial;sans-serif" w:hAnsi="Montserrat;Arial;sans-serif"/>
                <w:b/>
                <w:bCs/>
                <w:i w:val="false"/>
                <w:caps w:val="false"/>
                <w:smallCaps w:val="false"/>
                <w:color w:val="000000"/>
                <w:spacing w:val="0"/>
                <w:sz w:val="18"/>
                <w:szCs w:val="18"/>
              </w:rPr>
              <w:t>0886600925</w:t>
            </w:r>
          </w:p>
        </w:tc>
        <w:tc>
          <w:tcPr>
            <w:tcW w:w="286" w:type="dxa"/>
            <w:tcBorders/>
          </w:tcPr>
          <w:p>
            <w:pPr>
              <w:pStyle w:val="Normal"/>
              <w:widowControl w:val="false"/>
              <w:spacing w:before="0" w:after="240"/>
              <w:rPr>
                <w:b/>
                <w:sz w:val="16"/>
                <w:szCs w:val="16"/>
              </w:rPr>
            </w:pPr>
            <w:r>
              <w:rPr>
                <w:b/>
                <w:sz w:val="16"/>
                <w:szCs w:val="16"/>
              </w:rPr>
            </w:r>
          </w:p>
        </w:tc>
      </w:tr>
    </w:tbl>
    <w:p>
      <w:pPr>
        <w:pStyle w:val="Normal"/>
        <w:spacing w:before="0" w:after="120"/>
        <w:rPr>
          <w:b/>
          <w:sz w:val="16"/>
          <w:szCs w:val="16"/>
          <w:lang w:val="en-US"/>
        </w:rPr>
      </w:pPr>
      <w:r>
        <w:rPr>
          <w:b/>
          <w:sz w:val="16"/>
          <w:szCs w:val="16"/>
          <w:lang w:val="en-US"/>
        </w:rPr>
      </w:r>
    </w:p>
    <w:p>
      <w:pPr>
        <w:pStyle w:val="Normal"/>
        <w:spacing w:before="0" w:after="120"/>
        <w:rPr>
          <w:b/>
          <w:sz w:val="18"/>
          <w:szCs w:val="18"/>
        </w:rPr>
      </w:pPr>
      <w:r>
        <w:rPr>
          <w:b/>
          <w:sz w:val="18"/>
          <w:szCs w:val="18"/>
        </w:rPr>
        <w:t xml:space="preserve">Ерайдър ООД моли най-любезно всички клиенти да почистват тротинетките преди да ги транспортират до сервизните центрове!                    </w:t>
      </w:r>
    </w:p>
    <w:p>
      <w:pPr>
        <w:pStyle w:val="Normal"/>
        <w:spacing w:before="0" w:after="120"/>
        <w:rPr>
          <w:b/>
          <w:sz w:val="18"/>
          <w:szCs w:val="18"/>
        </w:rPr>
      </w:pPr>
      <w:r>
        <w:rPr>
          <w:b/>
          <w:bCs/>
          <w:sz w:val="20"/>
          <w:szCs w:val="20"/>
        </w:rPr>
        <w:t>РЕМОНТИ В ГАРАНЦИОНЕН СРОК</w:t>
      </w:r>
    </w:p>
    <w:tbl>
      <w:tblPr>
        <w:tblW w:w="10140" w:type="dxa"/>
        <w:jc w:val="left"/>
        <w:tblInd w:w="-216" w:type="dxa"/>
        <w:tblLayout w:type="fixed"/>
        <w:tblCellMar>
          <w:top w:w="0" w:type="dxa"/>
          <w:left w:w="108" w:type="dxa"/>
          <w:bottom w:w="0" w:type="dxa"/>
          <w:right w:w="108" w:type="dxa"/>
        </w:tblCellMar>
      </w:tblPr>
      <w:tblGrid>
        <w:gridCol w:w="1702"/>
        <w:gridCol w:w="1810"/>
        <w:gridCol w:w="3400"/>
        <w:gridCol w:w="1670"/>
        <w:gridCol w:w="1558"/>
      </w:tblGrid>
      <w:tr>
        <w:trPr>
          <w:trHeight w:val="816" w:hRule="atLeast"/>
        </w:trPr>
        <w:tc>
          <w:tcPr>
            <w:tcW w:w="170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40" w:after="240"/>
              <w:ind w:hanging="0" w:left="113" w:right="0"/>
              <w:rPr>
                <w:sz w:val="16"/>
                <w:szCs w:val="16"/>
              </w:rPr>
            </w:pPr>
            <w:bookmarkStart w:id="3" w:name="_heading=h.3znysh7"/>
            <w:bookmarkEnd w:id="3"/>
            <w:r>
              <w:rPr>
                <w:sz w:val="16"/>
                <w:szCs w:val="16"/>
              </w:rPr>
              <w:t>Дата на постъпване</w:t>
            </w:r>
          </w:p>
        </w:tc>
        <w:tc>
          <w:tcPr>
            <w:tcW w:w="181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40" w:after="240"/>
              <w:rPr>
                <w:sz w:val="16"/>
                <w:szCs w:val="16"/>
              </w:rPr>
            </w:pPr>
            <w:r>
              <w:rPr>
                <w:sz w:val="16"/>
                <w:szCs w:val="16"/>
              </w:rPr>
              <w:t>Дата на ремонтиране</w:t>
            </w:r>
          </w:p>
        </w:tc>
        <w:tc>
          <w:tcPr>
            <w:tcW w:w="34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40" w:after="240"/>
              <w:rPr>
                <w:sz w:val="16"/>
                <w:szCs w:val="16"/>
              </w:rPr>
            </w:pPr>
            <w:r>
              <w:rPr>
                <w:sz w:val="16"/>
                <w:szCs w:val="16"/>
              </w:rPr>
              <w:t>Описание на извършения ремонт и сменени части</w:t>
            </w:r>
          </w:p>
        </w:tc>
        <w:tc>
          <w:tcPr>
            <w:tcW w:w="167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40" w:after="240"/>
              <w:rPr>
                <w:sz w:val="16"/>
                <w:szCs w:val="16"/>
              </w:rPr>
            </w:pPr>
            <w:r>
              <w:rPr>
                <w:sz w:val="16"/>
                <w:szCs w:val="16"/>
              </w:rPr>
              <w:t>Удължаване на гаранцията</w:t>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40" w:after="240"/>
              <w:rPr>
                <w:sz w:val="16"/>
                <w:szCs w:val="16"/>
              </w:rPr>
            </w:pPr>
            <w:r>
              <w:rPr>
                <w:sz w:val="16"/>
                <w:szCs w:val="16"/>
              </w:rPr>
              <w:t>Подпис и печат           на сервиза</w:t>
            </w:r>
          </w:p>
        </w:tc>
      </w:tr>
      <w:tr>
        <w:trPr>
          <w:trHeight w:val="864" w:hRule="exact"/>
        </w:trPr>
        <w:tc>
          <w:tcPr>
            <w:tcW w:w="170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40" w:after="240"/>
              <w:rPr>
                <w:b/>
                <w:sz w:val="16"/>
                <w:szCs w:val="16"/>
              </w:rPr>
            </w:pPr>
            <w:r>
              <w:rPr>
                <w:b/>
                <w:sz w:val="16"/>
                <w:szCs w:val="16"/>
              </w:rPr>
            </w:r>
          </w:p>
        </w:tc>
        <w:tc>
          <w:tcPr>
            <w:tcW w:w="181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40" w:after="240"/>
              <w:rPr>
                <w:b/>
                <w:sz w:val="16"/>
                <w:szCs w:val="16"/>
              </w:rPr>
            </w:pPr>
            <w:r>
              <w:rPr>
                <w:b/>
                <w:sz w:val="16"/>
                <w:szCs w:val="16"/>
              </w:rPr>
            </w:r>
          </w:p>
        </w:tc>
        <w:tc>
          <w:tcPr>
            <w:tcW w:w="34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40" w:after="240"/>
              <w:rPr>
                <w:b/>
                <w:sz w:val="16"/>
                <w:szCs w:val="16"/>
              </w:rPr>
            </w:pPr>
            <w:r>
              <w:rPr>
                <w:b/>
                <w:sz w:val="16"/>
                <w:szCs w:val="16"/>
              </w:rPr>
            </w:r>
          </w:p>
        </w:tc>
        <w:tc>
          <w:tcPr>
            <w:tcW w:w="167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40" w:after="240"/>
              <w:rPr>
                <w:b/>
                <w:sz w:val="16"/>
                <w:szCs w:val="16"/>
              </w:rPr>
            </w:pPr>
            <w:r>
              <w:rPr>
                <w:b/>
                <w:sz w:val="16"/>
                <w:szCs w:val="16"/>
              </w:rPr>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40" w:after="240"/>
              <w:rPr>
                <w:b/>
                <w:sz w:val="16"/>
                <w:szCs w:val="16"/>
              </w:rPr>
            </w:pPr>
            <w:r>
              <w:rPr>
                <w:b/>
                <w:sz w:val="16"/>
                <w:szCs w:val="16"/>
              </w:rPr>
            </w:r>
          </w:p>
        </w:tc>
      </w:tr>
      <w:tr>
        <w:trPr>
          <w:trHeight w:val="864" w:hRule="exact"/>
        </w:trPr>
        <w:tc>
          <w:tcPr>
            <w:tcW w:w="1702" w:type="dxa"/>
            <w:tcBorders>
              <w:left w:val="single" w:sz="4" w:space="0" w:color="000000"/>
              <w:bottom w:val="single" w:sz="4" w:space="0" w:color="000000"/>
              <w:right w:val="single" w:sz="4" w:space="0" w:color="000000"/>
            </w:tcBorders>
          </w:tcPr>
          <w:p>
            <w:pPr>
              <w:pStyle w:val="Normal"/>
              <w:widowControl w:val="false"/>
              <w:spacing w:before="240" w:after="240"/>
              <w:rPr>
                <w:b/>
                <w:sz w:val="16"/>
                <w:szCs w:val="16"/>
              </w:rPr>
            </w:pPr>
            <w:r>
              <w:rPr>
                <w:b/>
                <w:sz w:val="16"/>
                <w:szCs w:val="16"/>
              </w:rPr>
            </w:r>
          </w:p>
        </w:tc>
        <w:tc>
          <w:tcPr>
            <w:tcW w:w="1810" w:type="dxa"/>
            <w:tcBorders>
              <w:left w:val="single" w:sz="4" w:space="0" w:color="000000"/>
              <w:bottom w:val="single" w:sz="4" w:space="0" w:color="000000"/>
              <w:right w:val="single" w:sz="4" w:space="0" w:color="000000"/>
            </w:tcBorders>
          </w:tcPr>
          <w:p>
            <w:pPr>
              <w:pStyle w:val="Normal"/>
              <w:widowControl w:val="false"/>
              <w:spacing w:before="240" w:after="240"/>
              <w:rPr>
                <w:b/>
                <w:sz w:val="16"/>
                <w:szCs w:val="16"/>
              </w:rPr>
            </w:pPr>
            <w:r>
              <w:rPr>
                <w:b/>
                <w:sz w:val="16"/>
                <w:szCs w:val="16"/>
              </w:rPr>
            </w:r>
          </w:p>
        </w:tc>
        <w:tc>
          <w:tcPr>
            <w:tcW w:w="3400" w:type="dxa"/>
            <w:tcBorders>
              <w:left w:val="single" w:sz="4" w:space="0" w:color="000000"/>
              <w:bottom w:val="single" w:sz="4" w:space="0" w:color="000000"/>
              <w:right w:val="single" w:sz="4" w:space="0" w:color="000000"/>
            </w:tcBorders>
          </w:tcPr>
          <w:p>
            <w:pPr>
              <w:pStyle w:val="Normal"/>
              <w:widowControl w:val="false"/>
              <w:spacing w:before="240" w:after="240"/>
              <w:rPr>
                <w:b/>
                <w:sz w:val="16"/>
                <w:szCs w:val="16"/>
              </w:rPr>
            </w:pPr>
            <w:r>
              <w:rPr>
                <w:b/>
                <w:sz w:val="16"/>
                <w:szCs w:val="16"/>
              </w:rPr>
            </w:r>
          </w:p>
        </w:tc>
        <w:tc>
          <w:tcPr>
            <w:tcW w:w="1670" w:type="dxa"/>
            <w:tcBorders>
              <w:left w:val="single" w:sz="4" w:space="0" w:color="000000"/>
              <w:bottom w:val="single" w:sz="4" w:space="0" w:color="000000"/>
              <w:right w:val="single" w:sz="4" w:space="0" w:color="000000"/>
            </w:tcBorders>
          </w:tcPr>
          <w:p>
            <w:pPr>
              <w:pStyle w:val="Normal"/>
              <w:widowControl w:val="false"/>
              <w:spacing w:before="240" w:after="240"/>
              <w:rPr>
                <w:b/>
                <w:sz w:val="16"/>
                <w:szCs w:val="16"/>
              </w:rPr>
            </w:pPr>
            <w:r>
              <w:rPr>
                <w:b/>
                <w:sz w:val="16"/>
                <w:szCs w:val="16"/>
              </w:rPr>
            </w:r>
          </w:p>
        </w:tc>
        <w:tc>
          <w:tcPr>
            <w:tcW w:w="1558" w:type="dxa"/>
            <w:tcBorders>
              <w:left w:val="single" w:sz="4" w:space="0" w:color="000000"/>
              <w:bottom w:val="single" w:sz="4" w:space="0" w:color="000000"/>
              <w:right w:val="single" w:sz="4" w:space="0" w:color="000000"/>
            </w:tcBorders>
          </w:tcPr>
          <w:p>
            <w:pPr>
              <w:pStyle w:val="Normal"/>
              <w:widowControl w:val="false"/>
              <w:spacing w:before="240" w:after="240"/>
              <w:rPr>
                <w:b/>
                <w:sz w:val="16"/>
                <w:szCs w:val="16"/>
              </w:rPr>
            </w:pPr>
            <w:r>
              <w:rPr>
                <w:b/>
                <w:sz w:val="16"/>
                <w:szCs w:val="16"/>
              </w:rPr>
            </w:r>
          </w:p>
        </w:tc>
      </w:tr>
      <w:tr>
        <w:trPr>
          <w:trHeight w:val="864" w:hRule="exact"/>
        </w:trPr>
        <w:tc>
          <w:tcPr>
            <w:tcW w:w="1702" w:type="dxa"/>
            <w:tcBorders>
              <w:left w:val="single" w:sz="4" w:space="0" w:color="000000"/>
              <w:bottom w:val="single" w:sz="4" w:space="0" w:color="000000"/>
              <w:right w:val="single" w:sz="4" w:space="0" w:color="000000"/>
            </w:tcBorders>
          </w:tcPr>
          <w:p>
            <w:pPr>
              <w:pStyle w:val="Normal"/>
              <w:widowControl w:val="false"/>
              <w:spacing w:before="240" w:after="240"/>
              <w:rPr>
                <w:b/>
                <w:sz w:val="16"/>
                <w:szCs w:val="16"/>
              </w:rPr>
            </w:pPr>
            <w:r>
              <w:rPr>
                <w:b/>
                <w:sz w:val="16"/>
                <w:szCs w:val="16"/>
              </w:rPr>
            </w:r>
          </w:p>
        </w:tc>
        <w:tc>
          <w:tcPr>
            <w:tcW w:w="1810" w:type="dxa"/>
            <w:tcBorders>
              <w:left w:val="single" w:sz="4" w:space="0" w:color="000000"/>
              <w:bottom w:val="single" w:sz="4" w:space="0" w:color="000000"/>
              <w:right w:val="single" w:sz="4" w:space="0" w:color="000000"/>
            </w:tcBorders>
          </w:tcPr>
          <w:p>
            <w:pPr>
              <w:pStyle w:val="Normal"/>
              <w:widowControl w:val="false"/>
              <w:spacing w:before="240" w:after="240"/>
              <w:rPr>
                <w:b/>
                <w:sz w:val="16"/>
                <w:szCs w:val="16"/>
              </w:rPr>
            </w:pPr>
            <w:r>
              <w:rPr>
                <w:b/>
                <w:sz w:val="16"/>
                <w:szCs w:val="16"/>
              </w:rPr>
            </w:r>
          </w:p>
        </w:tc>
        <w:tc>
          <w:tcPr>
            <w:tcW w:w="3400" w:type="dxa"/>
            <w:tcBorders>
              <w:left w:val="single" w:sz="4" w:space="0" w:color="000000"/>
              <w:bottom w:val="single" w:sz="4" w:space="0" w:color="000000"/>
              <w:right w:val="single" w:sz="4" w:space="0" w:color="000000"/>
            </w:tcBorders>
          </w:tcPr>
          <w:p>
            <w:pPr>
              <w:pStyle w:val="Normal"/>
              <w:widowControl w:val="false"/>
              <w:spacing w:before="240" w:after="240"/>
              <w:rPr>
                <w:b/>
                <w:sz w:val="16"/>
                <w:szCs w:val="16"/>
              </w:rPr>
            </w:pPr>
            <w:r>
              <w:rPr>
                <w:b/>
                <w:sz w:val="16"/>
                <w:szCs w:val="16"/>
              </w:rPr>
            </w:r>
          </w:p>
        </w:tc>
        <w:tc>
          <w:tcPr>
            <w:tcW w:w="1670" w:type="dxa"/>
            <w:tcBorders>
              <w:left w:val="single" w:sz="4" w:space="0" w:color="000000"/>
              <w:bottom w:val="single" w:sz="4" w:space="0" w:color="000000"/>
              <w:right w:val="single" w:sz="4" w:space="0" w:color="000000"/>
            </w:tcBorders>
          </w:tcPr>
          <w:p>
            <w:pPr>
              <w:pStyle w:val="Normal"/>
              <w:widowControl w:val="false"/>
              <w:spacing w:before="240" w:after="240"/>
              <w:rPr>
                <w:b/>
                <w:sz w:val="16"/>
                <w:szCs w:val="16"/>
              </w:rPr>
            </w:pPr>
            <w:r>
              <w:rPr>
                <w:b/>
                <w:sz w:val="16"/>
                <w:szCs w:val="16"/>
              </w:rPr>
            </w:r>
          </w:p>
        </w:tc>
        <w:tc>
          <w:tcPr>
            <w:tcW w:w="1558" w:type="dxa"/>
            <w:tcBorders>
              <w:left w:val="single" w:sz="4" w:space="0" w:color="000000"/>
              <w:bottom w:val="single" w:sz="4" w:space="0" w:color="000000"/>
              <w:right w:val="single" w:sz="4" w:space="0" w:color="000000"/>
            </w:tcBorders>
          </w:tcPr>
          <w:p>
            <w:pPr>
              <w:pStyle w:val="Normal"/>
              <w:widowControl w:val="false"/>
              <w:spacing w:before="240" w:after="240"/>
              <w:rPr>
                <w:b/>
                <w:sz w:val="16"/>
                <w:szCs w:val="16"/>
              </w:rPr>
            </w:pPr>
            <w:r>
              <w:rPr>
                <w:b/>
                <w:sz w:val="16"/>
                <w:szCs w:val="16"/>
              </w:rPr>
            </w:r>
          </w:p>
        </w:tc>
      </w:tr>
      <w:tr>
        <w:trPr>
          <w:trHeight w:val="864" w:hRule="exact"/>
        </w:trPr>
        <w:tc>
          <w:tcPr>
            <w:tcW w:w="1702" w:type="dxa"/>
            <w:tcBorders>
              <w:left w:val="single" w:sz="4" w:space="0" w:color="000000"/>
              <w:bottom w:val="single" w:sz="4" w:space="0" w:color="000000"/>
              <w:right w:val="single" w:sz="4" w:space="0" w:color="000000"/>
            </w:tcBorders>
          </w:tcPr>
          <w:p>
            <w:pPr>
              <w:pStyle w:val="Normal"/>
              <w:widowControl w:val="false"/>
              <w:spacing w:before="240" w:after="240"/>
              <w:rPr>
                <w:b/>
                <w:sz w:val="16"/>
                <w:szCs w:val="16"/>
              </w:rPr>
            </w:pPr>
            <w:r>
              <w:rPr>
                <w:b/>
                <w:sz w:val="16"/>
                <w:szCs w:val="16"/>
              </w:rPr>
            </w:r>
          </w:p>
        </w:tc>
        <w:tc>
          <w:tcPr>
            <w:tcW w:w="1810" w:type="dxa"/>
            <w:tcBorders>
              <w:left w:val="single" w:sz="4" w:space="0" w:color="000000"/>
              <w:bottom w:val="single" w:sz="4" w:space="0" w:color="000000"/>
              <w:right w:val="single" w:sz="4" w:space="0" w:color="000000"/>
            </w:tcBorders>
          </w:tcPr>
          <w:p>
            <w:pPr>
              <w:pStyle w:val="Normal"/>
              <w:widowControl w:val="false"/>
              <w:spacing w:before="240" w:after="240"/>
              <w:rPr>
                <w:b/>
                <w:sz w:val="16"/>
                <w:szCs w:val="16"/>
              </w:rPr>
            </w:pPr>
            <w:r>
              <w:rPr>
                <w:b/>
                <w:sz w:val="16"/>
                <w:szCs w:val="16"/>
              </w:rPr>
            </w:r>
          </w:p>
        </w:tc>
        <w:tc>
          <w:tcPr>
            <w:tcW w:w="3400" w:type="dxa"/>
            <w:tcBorders>
              <w:left w:val="single" w:sz="4" w:space="0" w:color="000000"/>
              <w:bottom w:val="single" w:sz="4" w:space="0" w:color="000000"/>
              <w:right w:val="single" w:sz="4" w:space="0" w:color="000000"/>
            </w:tcBorders>
          </w:tcPr>
          <w:p>
            <w:pPr>
              <w:pStyle w:val="Normal"/>
              <w:widowControl w:val="false"/>
              <w:spacing w:before="240" w:after="240"/>
              <w:rPr>
                <w:b/>
                <w:sz w:val="16"/>
                <w:szCs w:val="16"/>
              </w:rPr>
            </w:pPr>
            <w:r>
              <w:rPr>
                <w:b/>
                <w:sz w:val="16"/>
                <w:szCs w:val="16"/>
              </w:rPr>
            </w:r>
          </w:p>
        </w:tc>
        <w:tc>
          <w:tcPr>
            <w:tcW w:w="1670" w:type="dxa"/>
            <w:tcBorders>
              <w:left w:val="single" w:sz="4" w:space="0" w:color="000000"/>
              <w:bottom w:val="single" w:sz="4" w:space="0" w:color="000000"/>
              <w:right w:val="single" w:sz="4" w:space="0" w:color="000000"/>
            </w:tcBorders>
          </w:tcPr>
          <w:p>
            <w:pPr>
              <w:pStyle w:val="Normal"/>
              <w:widowControl w:val="false"/>
              <w:spacing w:before="240" w:after="240"/>
              <w:rPr>
                <w:b/>
                <w:sz w:val="16"/>
                <w:szCs w:val="16"/>
              </w:rPr>
            </w:pPr>
            <w:r>
              <w:rPr>
                <w:b/>
                <w:sz w:val="16"/>
                <w:szCs w:val="16"/>
              </w:rPr>
            </w:r>
          </w:p>
        </w:tc>
        <w:tc>
          <w:tcPr>
            <w:tcW w:w="1558" w:type="dxa"/>
            <w:tcBorders>
              <w:left w:val="single" w:sz="4" w:space="0" w:color="000000"/>
              <w:bottom w:val="single" w:sz="4" w:space="0" w:color="000000"/>
              <w:right w:val="single" w:sz="4" w:space="0" w:color="000000"/>
            </w:tcBorders>
          </w:tcPr>
          <w:p>
            <w:pPr>
              <w:pStyle w:val="Normal"/>
              <w:widowControl w:val="false"/>
              <w:spacing w:before="240" w:after="240"/>
              <w:rPr>
                <w:b/>
                <w:sz w:val="16"/>
                <w:szCs w:val="16"/>
              </w:rPr>
            </w:pPr>
            <w:r>
              <w:rPr>
                <w:b/>
                <w:sz w:val="16"/>
                <w:szCs w:val="16"/>
              </w:rPr>
            </w:r>
          </w:p>
        </w:tc>
      </w:tr>
      <w:tr>
        <w:trPr>
          <w:trHeight w:val="864" w:hRule="exact"/>
        </w:trPr>
        <w:tc>
          <w:tcPr>
            <w:tcW w:w="1702" w:type="dxa"/>
            <w:tcBorders>
              <w:left w:val="single" w:sz="4" w:space="0" w:color="000000"/>
              <w:bottom w:val="single" w:sz="4" w:space="0" w:color="000000"/>
              <w:right w:val="single" w:sz="4" w:space="0" w:color="000000"/>
            </w:tcBorders>
          </w:tcPr>
          <w:p>
            <w:pPr>
              <w:pStyle w:val="Normal"/>
              <w:widowControl w:val="false"/>
              <w:spacing w:before="240" w:after="240"/>
              <w:rPr>
                <w:b/>
                <w:sz w:val="16"/>
                <w:szCs w:val="16"/>
              </w:rPr>
            </w:pPr>
            <w:r>
              <w:rPr>
                <w:b/>
                <w:sz w:val="16"/>
                <w:szCs w:val="16"/>
              </w:rPr>
            </w:r>
          </w:p>
        </w:tc>
        <w:tc>
          <w:tcPr>
            <w:tcW w:w="1810" w:type="dxa"/>
            <w:tcBorders>
              <w:left w:val="single" w:sz="4" w:space="0" w:color="000000"/>
              <w:bottom w:val="single" w:sz="4" w:space="0" w:color="000000"/>
              <w:right w:val="single" w:sz="4" w:space="0" w:color="000000"/>
            </w:tcBorders>
          </w:tcPr>
          <w:p>
            <w:pPr>
              <w:pStyle w:val="Normal"/>
              <w:widowControl w:val="false"/>
              <w:spacing w:before="240" w:after="240"/>
              <w:rPr>
                <w:b/>
                <w:sz w:val="16"/>
                <w:szCs w:val="16"/>
              </w:rPr>
            </w:pPr>
            <w:r>
              <w:rPr>
                <w:b/>
                <w:sz w:val="16"/>
                <w:szCs w:val="16"/>
              </w:rPr>
            </w:r>
          </w:p>
        </w:tc>
        <w:tc>
          <w:tcPr>
            <w:tcW w:w="3400" w:type="dxa"/>
            <w:tcBorders>
              <w:left w:val="single" w:sz="4" w:space="0" w:color="000000"/>
              <w:bottom w:val="single" w:sz="4" w:space="0" w:color="000000"/>
              <w:right w:val="single" w:sz="4" w:space="0" w:color="000000"/>
            </w:tcBorders>
          </w:tcPr>
          <w:p>
            <w:pPr>
              <w:pStyle w:val="Normal"/>
              <w:widowControl w:val="false"/>
              <w:spacing w:before="240" w:after="240"/>
              <w:rPr>
                <w:b/>
                <w:sz w:val="16"/>
                <w:szCs w:val="16"/>
              </w:rPr>
            </w:pPr>
            <w:r>
              <w:rPr>
                <w:b/>
                <w:sz w:val="16"/>
                <w:szCs w:val="16"/>
              </w:rPr>
            </w:r>
          </w:p>
        </w:tc>
        <w:tc>
          <w:tcPr>
            <w:tcW w:w="1670" w:type="dxa"/>
            <w:tcBorders>
              <w:left w:val="single" w:sz="4" w:space="0" w:color="000000"/>
              <w:bottom w:val="single" w:sz="4" w:space="0" w:color="000000"/>
              <w:right w:val="single" w:sz="4" w:space="0" w:color="000000"/>
            </w:tcBorders>
          </w:tcPr>
          <w:p>
            <w:pPr>
              <w:pStyle w:val="Normal"/>
              <w:widowControl w:val="false"/>
              <w:spacing w:before="240" w:after="240"/>
              <w:rPr>
                <w:b/>
                <w:sz w:val="16"/>
                <w:szCs w:val="16"/>
              </w:rPr>
            </w:pPr>
            <w:r>
              <w:rPr>
                <w:b/>
                <w:sz w:val="16"/>
                <w:szCs w:val="16"/>
              </w:rPr>
            </w:r>
          </w:p>
        </w:tc>
        <w:tc>
          <w:tcPr>
            <w:tcW w:w="1558" w:type="dxa"/>
            <w:tcBorders>
              <w:left w:val="single" w:sz="4" w:space="0" w:color="000000"/>
              <w:bottom w:val="single" w:sz="4" w:space="0" w:color="000000"/>
              <w:right w:val="single" w:sz="4" w:space="0" w:color="000000"/>
            </w:tcBorders>
          </w:tcPr>
          <w:p>
            <w:pPr>
              <w:pStyle w:val="Normal"/>
              <w:widowControl w:val="false"/>
              <w:spacing w:before="240" w:after="240"/>
              <w:rPr>
                <w:b/>
                <w:sz w:val="16"/>
                <w:szCs w:val="16"/>
              </w:rPr>
            </w:pPr>
            <w:r>
              <w:rPr>
                <w:b/>
                <w:sz w:val="16"/>
                <w:szCs w:val="16"/>
              </w:rPr>
            </w:r>
          </w:p>
        </w:tc>
      </w:tr>
    </w:tbl>
    <w:p>
      <w:pPr>
        <w:pStyle w:val="Normal"/>
        <w:spacing w:lineRule="auto" w:line="240"/>
        <w:rPr>
          <w:b/>
          <w:sz w:val="21"/>
          <w:szCs w:val="21"/>
        </w:rPr>
      </w:pPr>
      <w:r>
        <w:rPr>
          <w:b/>
          <w:sz w:val="21"/>
          <w:szCs w:val="21"/>
        </w:rPr>
        <w:t>ОТКАЗАНА ГАРАНЦИЯ</w:t>
      </w:r>
    </w:p>
    <w:p>
      <w:pPr>
        <w:pStyle w:val="Normal"/>
        <w:spacing w:lineRule="auto" w:line="240"/>
        <w:rPr>
          <w:b/>
          <w:sz w:val="16"/>
          <w:szCs w:val="16"/>
          <w:lang w:val="en-US"/>
        </w:rPr>
      </w:pPr>
      <w:r>
        <w:rPr>
          <w:b/>
          <w:sz w:val="16"/>
          <w:szCs w:val="16"/>
          <w:lang w:val="en-US"/>
        </w:rPr>
      </w:r>
    </w:p>
    <w:tbl>
      <w:tblPr>
        <w:tblW w:w="10008" w:type="dxa"/>
        <w:jc w:val="left"/>
        <w:tblInd w:w="-217" w:type="dxa"/>
        <w:tblLayout w:type="fixed"/>
        <w:tblCellMar>
          <w:top w:w="0" w:type="dxa"/>
          <w:left w:w="108" w:type="dxa"/>
          <w:bottom w:w="0" w:type="dxa"/>
          <w:right w:w="108" w:type="dxa"/>
        </w:tblCellMar>
      </w:tblPr>
      <w:tblGrid>
        <w:gridCol w:w="2099"/>
        <w:gridCol w:w="2969"/>
        <w:gridCol w:w="3046"/>
        <w:gridCol w:w="1893"/>
      </w:tblGrid>
      <w:tr>
        <w:trPr/>
        <w:tc>
          <w:tcPr>
            <w:tcW w:w="2099" w:type="dxa"/>
            <w:tcBorders>
              <w:top w:val="single" w:sz="8" w:space="0" w:color="000000"/>
              <w:left w:val="single" w:sz="8" w:space="0" w:color="000000"/>
              <w:bottom w:val="single" w:sz="8" w:space="0" w:color="000000"/>
              <w:right w:val="single" w:sz="8" w:space="0" w:color="000000"/>
            </w:tcBorders>
            <w:vAlign w:val="center"/>
          </w:tcPr>
          <w:p>
            <w:pPr>
              <w:pStyle w:val="Normal"/>
              <w:keepNext w:val="true"/>
              <w:keepLines/>
              <w:widowControl w:val="false"/>
              <w:spacing w:lineRule="auto" w:line="240"/>
              <w:rPr>
                <w:color w:val="000000"/>
                <w:sz w:val="16"/>
                <w:szCs w:val="16"/>
              </w:rPr>
            </w:pPr>
            <w:r>
              <w:rPr>
                <w:color w:val="000000"/>
                <w:sz w:val="16"/>
                <w:szCs w:val="16"/>
              </w:rPr>
              <w:t>Дата на отказа</w:t>
            </w:r>
          </w:p>
        </w:tc>
        <w:tc>
          <w:tcPr>
            <w:tcW w:w="2969" w:type="dxa"/>
            <w:tcBorders>
              <w:top w:val="single" w:sz="8" w:space="0" w:color="000000"/>
              <w:left w:val="single" w:sz="8" w:space="0" w:color="000000"/>
              <w:bottom w:val="single" w:sz="8" w:space="0" w:color="000000"/>
              <w:right w:val="single" w:sz="8" w:space="0" w:color="000000"/>
            </w:tcBorders>
            <w:vAlign w:val="center"/>
          </w:tcPr>
          <w:p>
            <w:pPr>
              <w:pStyle w:val="Normal"/>
              <w:keepNext w:val="true"/>
              <w:keepLines/>
              <w:widowControl w:val="false"/>
              <w:spacing w:lineRule="auto" w:line="240"/>
              <w:rPr>
                <w:color w:val="000000"/>
                <w:sz w:val="16"/>
                <w:szCs w:val="16"/>
              </w:rPr>
            </w:pPr>
            <w:r>
              <w:rPr>
                <w:color w:val="000000"/>
                <w:sz w:val="16"/>
                <w:szCs w:val="16"/>
              </w:rPr>
              <w:t>Състояние на продукта</w:t>
            </w:r>
          </w:p>
        </w:tc>
        <w:tc>
          <w:tcPr>
            <w:tcW w:w="3046" w:type="dxa"/>
            <w:tcBorders>
              <w:top w:val="single" w:sz="8" w:space="0" w:color="000000"/>
              <w:left w:val="single" w:sz="8" w:space="0" w:color="000000"/>
              <w:bottom w:val="single" w:sz="8" w:space="0" w:color="000000"/>
              <w:right w:val="single" w:sz="8" w:space="0" w:color="000000"/>
            </w:tcBorders>
            <w:vAlign w:val="center"/>
          </w:tcPr>
          <w:p>
            <w:pPr>
              <w:pStyle w:val="Normal"/>
              <w:keepNext w:val="true"/>
              <w:keepLines/>
              <w:widowControl w:val="false"/>
              <w:spacing w:lineRule="auto" w:line="240"/>
              <w:rPr>
                <w:color w:val="000000"/>
                <w:sz w:val="16"/>
                <w:szCs w:val="16"/>
              </w:rPr>
            </w:pPr>
            <w:r>
              <w:rPr>
                <w:color w:val="000000"/>
                <w:sz w:val="16"/>
                <w:szCs w:val="16"/>
              </w:rPr>
              <w:t>Причина за отказа</w:t>
            </w:r>
          </w:p>
        </w:tc>
        <w:tc>
          <w:tcPr>
            <w:tcW w:w="1893" w:type="dxa"/>
            <w:tcBorders>
              <w:top w:val="single" w:sz="8" w:space="0" w:color="000000"/>
              <w:left w:val="single" w:sz="8" w:space="0" w:color="000000"/>
              <w:bottom w:val="single" w:sz="8" w:space="0" w:color="000000"/>
              <w:right w:val="single" w:sz="8" w:space="0" w:color="000000"/>
            </w:tcBorders>
            <w:vAlign w:val="center"/>
          </w:tcPr>
          <w:p>
            <w:pPr>
              <w:pStyle w:val="Normal"/>
              <w:keepNext w:val="true"/>
              <w:keepLines/>
              <w:widowControl w:val="false"/>
              <w:spacing w:lineRule="auto" w:line="240"/>
              <w:rPr>
                <w:color w:val="000000"/>
                <w:sz w:val="16"/>
                <w:szCs w:val="16"/>
              </w:rPr>
            </w:pPr>
            <w:r>
              <w:rPr>
                <w:color w:val="000000"/>
                <w:sz w:val="16"/>
                <w:szCs w:val="16"/>
              </w:rPr>
              <w:t>Подпис и печат на сервиза</w:t>
            </w:r>
          </w:p>
        </w:tc>
      </w:tr>
      <w:tr>
        <w:trPr/>
        <w:tc>
          <w:tcPr>
            <w:tcW w:w="2099" w:type="dxa"/>
            <w:tcBorders>
              <w:top w:val="single" w:sz="8" w:space="0" w:color="000000"/>
              <w:left w:val="single" w:sz="8" w:space="0" w:color="000000"/>
              <w:bottom w:val="single" w:sz="8" w:space="0" w:color="000000"/>
              <w:right w:val="single" w:sz="8" w:space="0" w:color="000000"/>
            </w:tcBorders>
          </w:tcPr>
          <w:p>
            <w:pPr>
              <w:pStyle w:val="Normal"/>
              <w:keepNext w:val="true"/>
              <w:keepLines/>
              <w:widowControl w:val="false"/>
              <w:spacing w:before="480" w:after="120"/>
              <w:rPr>
                <w:b/>
                <w:color w:val="000000"/>
                <w:sz w:val="16"/>
                <w:szCs w:val="16"/>
              </w:rPr>
            </w:pPr>
            <w:r>
              <w:rPr>
                <w:b/>
                <w:color w:val="000000"/>
                <w:sz w:val="16"/>
                <w:szCs w:val="16"/>
              </w:rPr>
            </w:r>
          </w:p>
        </w:tc>
        <w:tc>
          <w:tcPr>
            <w:tcW w:w="2969" w:type="dxa"/>
            <w:tcBorders>
              <w:top w:val="single" w:sz="8" w:space="0" w:color="000000"/>
              <w:left w:val="single" w:sz="8" w:space="0" w:color="000000"/>
              <w:bottom w:val="single" w:sz="8" w:space="0" w:color="000000"/>
              <w:right w:val="single" w:sz="8" w:space="0" w:color="000000"/>
            </w:tcBorders>
          </w:tcPr>
          <w:p>
            <w:pPr>
              <w:pStyle w:val="Normal"/>
              <w:keepNext w:val="true"/>
              <w:keepLines/>
              <w:widowControl w:val="false"/>
              <w:spacing w:before="480" w:after="120"/>
              <w:rPr>
                <w:b/>
                <w:color w:val="000000"/>
                <w:sz w:val="16"/>
                <w:szCs w:val="16"/>
              </w:rPr>
            </w:pPr>
            <w:r>
              <w:rPr>
                <w:b/>
                <w:color w:val="000000"/>
                <w:sz w:val="16"/>
                <w:szCs w:val="16"/>
              </w:rPr>
            </w:r>
          </w:p>
        </w:tc>
        <w:tc>
          <w:tcPr>
            <w:tcW w:w="3046" w:type="dxa"/>
            <w:tcBorders>
              <w:top w:val="single" w:sz="8" w:space="0" w:color="000000"/>
              <w:left w:val="single" w:sz="8" w:space="0" w:color="000000"/>
              <w:bottom w:val="single" w:sz="8" w:space="0" w:color="000000"/>
              <w:right w:val="single" w:sz="8" w:space="0" w:color="000000"/>
            </w:tcBorders>
          </w:tcPr>
          <w:p>
            <w:pPr>
              <w:pStyle w:val="Normal"/>
              <w:keepNext w:val="true"/>
              <w:keepLines/>
              <w:widowControl w:val="false"/>
              <w:spacing w:before="480" w:after="120"/>
              <w:rPr>
                <w:b/>
                <w:color w:val="000000"/>
                <w:sz w:val="16"/>
                <w:szCs w:val="16"/>
              </w:rPr>
            </w:pPr>
            <w:r>
              <w:rPr>
                <w:b/>
                <w:color w:val="000000"/>
                <w:sz w:val="16"/>
                <w:szCs w:val="16"/>
              </w:rPr>
            </w:r>
          </w:p>
        </w:tc>
        <w:tc>
          <w:tcPr>
            <w:tcW w:w="1893" w:type="dxa"/>
            <w:tcBorders>
              <w:top w:val="single" w:sz="8" w:space="0" w:color="000000"/>
              <w:left w:val="single" w:sz="8" w:space="0" w:color="000000"/>
              <w:bottom w:val="single" w:sz="8" w:space="0" w:color="000000"/>
              <w:right w:val="single" w:sz="8" w:space="0" w:color="000000"/>
            </w:tcBorders>
          </w:tcPr>
          <w:p>
            <w:pPr>
              <w:pStyle w:val="Normal"/>
              <w:keepNext w:val="true"/>
              <w:keepLines/>
              <w:widowControl w:val="false"/>
              <w:spacing w:before="480" w:after="120"/>
              <w:rPr>
                <w:b/>
                <w:color w:val="000000"/>
                <w:sz w:val="16"/>
                <w:szCs w:val="16"/>
              </w:rPr>
            </w:pPr>
            <w:r>
              <w:rPr>
                <w:b/>
                <w:color w:val="000000"/>
                <w:sz w:val="16"/>
                <w:szCs w:val="16"/>
              </w:rPr>
            </w:r>
          </w:p>
        </w:tc>
      </w:tr>
    </w:tbl>
    <w:p>
      <w:pPr>
        <w:pStyle w:val="Normal"/>
        <w:spacing w:before="480" w:after="120"/>
        <w:rPr>
          <w:sz w:val="18"/>
          <w:szCs w:val="18"/>
        </w:rPr>
      </w:pPr>
      <w:r>
        <w:rPr>
          <w:sz w:val="18"/>
          <w:szCs w:val="18"/>
        </w:rPr>
        <w:t>Тази гаранционна карта съдържа 4(четири) страници и е предоставена на клиента при закупуване на продукта, което се удостоверява с положения по-долу от него подпис.</w:t>
      </w:r>
    </w:p>
    <w:p>
      <w:pPr>
        <w:pStyle w:val="Normal"/>
        <w:spacing w:before="480" w:after="120"/>
        <w:rPr>
          <w:sz w:val="18"/>
          <w:szCs w:val="18"/>
        </w:rPr>
      </w:pPr>
      <w:r>
        <w:rPr>
          <w:sz w:val="18"/>
          <w:szCs w:val="18"/>
        </w:rPr>
        <w:t>Получил гаранционната карта:..................................................................................................................</w:t>
      </w:r>
    </w:p>
    <w:p>
      <w:pPr>
        <w:pStyle w:val="Normal"/>
        <w:spacing w:lineRule="auto" w:line="240"/>
        <w:rPr>
          <w:sz w:val="18"/>
          <w:szCs w:val="18"/>
        </w:rPr>
      </w:pPr>
      <w:r>
        <w:rPr>
          <w:sz w:val="18"/>
          <w:szCs w:val="18"/>
        </w:rPr>
        <w:tab/>
        <w:tab/>
        <w:tab/>
        <w:tab/>
        <w:tab/>
        <w:tab/>
        <w:tab/>
        <w:t>(подпис и три имена)</w:t>
      </w:r>
    </w:p>
    <w:sectPr>
      <w:footerReference w:type="even" r:id="rId4"/>
      <w:footerReference w:type="default" r:id="rId5"/>
      <w:type w:val="nextPage"/>
      <w:pgSz w:w="11906" w:h="16838"/>
      <w:pgMar w:left="992" w:right="992" w:gutter="0" w:header="0" w:top="992" w:footer="992" w:bottom="1050"/>
      <w:pgNumType w:start="1" w:fmt="decimal"/>
      <w:formProt w:val="false"/>
      <w:textDirection w:val="lrTb"/>
      <w:docGrid w:type="default" w:linePitch="100" w:charSpace="1228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Arial">
    <w:charset w:val="cc"/>
    <w:family w:val="swiss"/>
    <w:pitch w:val="variable"/>
  </w:font>
  <w:font w:name="Tahoma">
    <w:charset w:val="cc"/>
    <w:family w:val="roman"/>
    <w:pitch w:val="variable"/>
  </w:font>
  <w:font w:name="Liberation Sans">
    <w:altName w:val="Arial"/>
    <w:charset w:val="cc"/>
    <w:family w:val="roman"/>
    <w:pitch w:val="variable"/>
  </w:font>
  <w:font w:name="Montserrat">
    <w:altName w:val="Arial"/>
    <w:charset w:val="cc"/>
    <w:family w:val="swiss"/>
    <w:pitch w:val="variable"/>
  </w:font>
  <w:font w:name="Noto Sans Symbols">
    <w:charset w:val="01"/>
    <w:family w:val="swiss"/>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961" w:leader="none"/>
        <w:tab w:val="right" w:pos="9922" w:leader="none"/>
      </w:tabs>
      <w:rPr>
        <w:color w:val="000000"/>
        <w:sz w:val="18"/>
        <w:szCs w:val="18"/>
      </w:rPr>
    </w:pPr>
    <w:r>
      <w:rPr>
        <w:color w:val="000000"/>
        <w:sz w:val="18"/>
        <w:szCs w:val="18"/>
      </w:rPr>
      <w:fldChar w:fldCharType="begin"/>
    </w:r>
    <w:r>
      <w:rPr>
        <w:sz w:val="18"/>
        <w:szCs w:val="18"/>
        <w:color w:val="000000"/>
      </w:rPr>
      <w:instrText xml:space="preserve"> PAGE </w:instrText>
    </w:r>
    <w:r>
      <w:rPr>
        <w:sz w:val="18"/>
        <w:szCs w:val="18"/>
        <w:color w:val="000000"/>
      </w:rPr>
      <w:fldChar w:fldCharType="separate"/>
    </w:r>
    <w:r>
      <w:rPr>
        <w:sz w:val="18"/>
        <w:szCs w:val="18"/>
        <w:color w:val="000000"/>
      </w:rPr>
      <w:t>4</w:t>
    </w:r>
    <w:r>
      <w:rPr>
        <w:sz w:val="18"/>
        <w:szCs w:val="18"/>
        <w:color w:val="000000"/>
      </w:rPr>
      <w:fldChar w:fldCharType="end"/>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961" w:leader="none"/>
        <w:tab w:val="right" w:pos="9922" w:leader="none"/>
      </w:tabs>
      <w:rPr>
        <w:color w:val="000000"/>
        <w:sz w:val="18"/>
        <w:szCs w:val="18"/>
      </w:rPr>
    </w:pPr>
    <w:r>
      <w:rPr>
        <w:color w:val="000000"/>
        <w:sz w:val="18"/>
        <w:szCs w:val="18"/>
      </w:rPr>
      <w:fldChar w:fldCharType="begin"/>
    </w:r>
    <w:r>
      <w:rPr>
        <w:sz w:val="18"/>
        <w:szCs w:val="18"/>
        <w:color w:val="000000"/>
      </w:rPr>
      <w:instrText xml:space="preserve"> PAGE </w:instrText>
    </w:r>
    <w:r>
      <w:rPr>
        <w:sz w:val="18"/>
        <w:szCs w:val="18"/>
        <w:color w:val="000000"/>
      </w:rPr>
      <w:fldChar w:fldCharType="separate"/>
    </w:r>
    <w:r>
      <w:rPr>
        <w:sz w:val="18"/>
        <w:szCs w:val="18"/>
        <w:color w:val="000000"/>
      </w:rPr>
      <w:t>5</w:t>
    </w:r>
    <w:r>
      <w:rPr>
        <w:sz w:val="18"/>
        <w:szCs w:val="18"/>
        <w:color w:val="000000"/>
      </w:rPr>
      <w:fldChar w:fldCharType="end"/>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
      <w:lvlJc w:val="left"/>
      <w:pPr>
        <w:tabs>
          <w:tab w:val="num" w:pos="0"/>
        </w:tabs>
        <w:ind w:left="1440" w:hanging="360"/>
      </w:pPr>
      <w:rPr>
        <w:rFonts w:ascii="Noto Sans Symbols" w:hAnsi="Noto Sans Symbols" w:cs="Noto Sans Symbols"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
      <w:lvlJc w:val="left"/>
      <w:pPr>
        <w:tabs>
          <w:tab w:val="num" w:pos="0"/>
        </w:tabs>
        <w:ind w:left="3600" w:hanging="360"/>
      </w:pPr>
      <w:rPr>
        <w:rFonts w:ascii="Noto Sans Symbols" w:hAnsi="Noto Sans Symbols" w:cs="Noto Sans Symbols"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
      <w:lvlJc w:val="left"/>
      <w:pPr>
        <w:tabs>
          <w:tab w:val="num" w:pos="0"/>
        </w:tabs>
        <w:ind w:left="5760" w:hanging="360"/>
      </w:pPr>
      <w:rPr>
        <w:rFonts w:ascii="Noto Sans Symbols" w:hAnsi="Noto Sans Symbols" w:cs="Noto Sans Symbols"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2">
    <w:lvl w:ilvl="0">
      <w:start w:val="1"/>
      <w:numFmt w:val="decimal"/>
      <w:lvlText w:val="%1"/>
      <w:lvlJc w:val="left"/>
      <w:pPr>
        <w:tabs>
          <w:tab w:val="num" w:pos="0"/>
        </w:tabs>
        <w:ind w:left="720" w:hanging="360"/>
      </w:pPr>
      <w:rPr>
        <w:u w:val="none"/>
      </w:rPr>
    </w:lvl>
    <w:lvl w:ilvl="1">
      <w:start w:val="1"/>
      <w:numFmt w:val="lowerLetter"/>
      <w:lvlText w:val="%1.%2"/>
      <w:lvlJc w:val="left"/>
      <w:pPr>
        <w:tabs>
          <w:tab w:val="num" w:pos="0"/>
        </w:tabs>
        <w:ind w:left="1440" w:hanging="360"/>
      </w:pPr>
      <w:rPr>
        <w:u w:val="none"/>
      </w:rPr>
    </w:lvl>
    <w:lvl w:ilvl="2">
      <w:start w:val="1"/>
      <w:numFmt w:val="lowerRoman"/>
      <w:lvlText w:val="%2.%3"/>
      <w:lvlJc w:val="left"/>
      <w:pPr>
        <w:tabs>
          <w:tab w:val="num" w:pos="0"/>
        </w:tabs>
        <w:ind w:left="2160" w:hanging="360"/>
      </w:pPr>
      <w:rPr>
        <w:u w:val="none"/>
      </w:rPr>
    </w:lvl>
    <w:lvl w:ilvl="3">
      <w:start w:val="1"/>
      <w:numFmt w:val="decimal"/>
      <w:lvlText w:val="%3.%4"/>
      <w:lvlJc w:val="left"/>
      <w:pPr>
        <w:tabs>
          <w:tab w:val="num" w:pos="0"/>
        </w:tabs>
        <w:ind w:left="2880" w:hanging="360"/>
      </w:pPr>
      <w:rPr>
        <w:u w:val="none"/>
      </w:rPr>
    </w:lvl>
    <w:lvl w:ilvl="4">
      <w:start w:val="1"/>
      <w:numFmt w:val="lowerLetter"/>
      <w:lvlText w:val="%4.%5"/>
      <w:lvlJc w:val="left"/>
      <w:pPr>
        <w:tabs>
          <w:tab w:val="num" w:pos="0"/>
        </w:tabs>
        <w:ind w:left="3600" w:hanging="360"/>
      </w:pPr>
      <w:rPr>
        <w:u w:val="none"/>
      </w:rPr>
    </w:lvl>
    <w:lvl w:ilvl="5">
      <w:start w:val="1"/>
      <w:numFmt w:val="lowerRoman"/>
      <w:lvlText w:val="%5.%6"/>
      <w:lvlJc w:val="left"/>
      <w:pPr>
        <w:tabs>
          <w:tab w:val="num" w:pos="0"/>
        </w:tabs>
        <w:ind w:left="4320" w:hanging="360"/>
      </w:pPr>
      <w:rPr>
        <w:u w:val="none"/>
      </w:rPr>
    </w:lvl>
    <w:lvl w:ilvl="6">
      <w:start w:val="1"/>
      <w:numFmt w:val="decimal"/>
      <w:lvlText w:val="%6.%7"/>
      <w:lvlJc w:val="left"/>
      <w:pPr>
        <w:tabs>
          <w:tab w:val="num" w:pos="0"/>
        </w:tabs>
        <w:ind w:left="5040" w:hanging="360"/>
      </w:pPr>
      <w:rPr>
        <w:u w:val="none"/>
      </w:rPr>
    </w:lvl>
    <w:lvl w:ilvl="7">
      <w:start w:val="1"/>
      <w:numFmt w:val="lowerLetter"/>
      <w:lvlText w:val="%7.%8"/>
      <w:lvlJc w:val="left"/>
      <w:pPr>
        <w:tabs>
          <w:tab w:val="num" w:pos="0"/>
        </w:tabs>
        <w:ind w:left="5760" w:hanging="360"/>
      </w:pPr>
      <w:rPr>
        <w:u w:val="none"/>
      </w:rPr>
    </w:lvl>
    <w:lvl w:ilvl="8">
      <w:start w:val="1"/>
      <w:numFmt w:val="lowerRoman"/>
      <w:lvlText w:val="%8.%9"/>
      <w:lvlJc w:val="left"/>
      <w:pPr>
        <w:tabs>
          <w:tab w:val="num" w:pos="0"/>
        </w:tabs>
        <w:ind w:left="6480" w:hanging="360"/>
      </w:pPr>
      <w:rPr>
        <w:u w:val="none"/>
      </w:rPr>
    </w:lvl>
  </w:abstractNum>
  <w:abstractNum w:abstractNumId="3">
    <w:lvl w:ilvl="0">
      <w:start w:val="1"/>
      <w:numFmt w:val="decimal"/>
      <w:lvlText w:val="%1"/>
      <w:lvlJc w:val="left"/>
      <w:pPr>
        <w:tabs>
          <w:tab w:val="num" w:pos="0"/>
        </w:tabs>
        <w:ind w:left="720" w:hanging="360"/>
      </w:pPr>
      <w:rPr>
        <w:u w:val="none"/>
        <w:b/>
        <w:bCs/>
        <w:color w:val="000000"/>
      </w:rPr>
    </w:lvl>
    <w:lvl w:ilvl="1">
      <w:start w:val="1"/>
      <w:numFmt w:val="lowerLetter"/>
      <w:lvlText w:val="%1.%2"/>
      <w:lvlJc w:val="left"/>
      <w:pPr>
        <w:tabs>
          <w:tab w:val="num" w:pos="0"/>
        </w:tabs>
        <w:ind w:left="1440" w:hanging="360"/>
      </w:pPr>
      <w:rPr>
        <w:u w:val="none"/>
      </w:rPr>
    </w:lvl>
    <w:lvl w:ilvl="2">
      <w:start w:val="1"/>
      <w:numFmt w:val="lowerRoman"/>
      <w:lvlText w:val="%2.%3"/>
      <w:lvlJc w:val="left"/>
      <w:pPr>
        <w:tabs>
          <w:tab w:val="num" w:pos="0"/>
        </w:tabs>
        <w:ind w:left="2160" w:hanging="360"/>
      </w:pPr>
      <w:rPr>
        <w:u w:val="none"/>
      </w:rPr>
    </w:lvl>
    <w:lvl w:ilvl="3">
      <w:start w:val="1"/>
      <w:numFmt w:val="decimal"/>
      <w:lvlText w:val="%3.%4"/>
      <w:lvlJc w:val="left"/>
      <w:pPr>
        <w:tabs>
          <w:tab w:val="num" w:pos="0"/>
        </w:tabs>
        <w:ind w:left="2880" w:hanging="360"/>
      </w:pPr>
      <w:rPr>
        <w:u w:val="none"/>
      </w:rPr>
    </w:lvl>
    <w:lvl w:ilvl="4">
      <w:start w:val="1"/>
      <w:numFmt w:val="lowerLetter"/>
      <w:lvlText w:val="%4.%5"/>
      <w:lvlJc w:val="left"/>
      <w:pPr>
        <w:tabs>
          <w:tab w:val="num" w:pos="0"/>
        </w:tabs>
        <w:ind w:left="3600" w:hanging="360"/>
      </w:pPr>
      <w:rPr>
        <w:u w:val="none"/>
      </w:rPr>
    </w:lvl>
    <w:lvl w:ilvl="5">
      <w:start w:val="1"/>
      <w:numFmt w:val="lowerRoman"/>
      <w:lvlText w:val="%5.%6"/>
      <w:lvlJc w:val="left"/>
      <w:pPr>
        <w:tabs>
          <w:tab w:val="num" w:pos="0"/>
        </w:tabs>
        <w:ind w:left="4320" w:hanging="360"/>
      </w:pPr>
      <w:rPr>
        <w:u w:val="none"/>
      </w:rPr>
    </w:lvl>
    <w:lvl w:ilvl="6">
      <w:start w:val="1"/>
      <w:numFmt w:val="decimal"/>
      <w:lvlText w:val="%6.%7"/>
      <w:lvlJc w:val="left"/>
      <w:pPr>
        <w:tabs>
          <w:tab w:val="num" w:pos="0"/>
        </w:tabs>
        <w:ind w:left="5040" w:hanging="360"/>
      </w:pPr>
      <w:rPr>
        <w:u w:val="none"/>
      </w:rPr>
    </w:lvl>
    <w:lvl w:ilvl="7">
      <w:start w:val="1"/>
      <w:numFmt w:val="lowerLetter"/>
      <w:lvlText w:val="%7.%8"/>
      <w:lvlJc w:val="left"/>
      <w:pPr>
        <w:tabs>
          <w:tab w:val="num" w:pos="0"/>
        </w:tabs>
        <w:ind w:left="5760" w:hanging="360"/>
      </w:pPr>
      <w:rPr>
        <w:u w:val="none"/>
      </w:rPr>
    </w:lvl>
    <w:lvl w:ilvl="8">
      <w:start w:val="1"/>
      <w:numFmt w:val="lowerRoman"/>
      <w:lvlText w:val="%8.%9"/>
      <w:lvlJc w:val="left"/>
      <w:pPr>
        <w:tabs>
          <w:tab w:val="num" w:pos="0"/>
        </w:tabs>
        <w:ind w:left="6480" w:hanging="360"/>
      </w:pPr>
      <w:rPr>
        <w:u w:val="none"/>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isplayBackgroundShape/>
  <w:defaultTabStop w:val="720"/>
  <w:autoHyphenation w:val="true"/>
  <w:hyphenationZone w:val="360"/>
  <w:evenAndOddHeaders/>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2"/>
        <w:szCs w:val="22"/>
        <w:lang w:val="bg-BG" w:eastAsia="bg-BG" w:bidi="ar-SA"/>
      </w:rPr>
    </w:rPrDefault>
    <w:pPrDefault>
      <w:pPr>
        <w:suppressAutoHyphens w:val="true"/>
      </w:pPr>
    </w:pPrDefault>
  </w:docDefaults>
  <w:style w:type="paragraph" w:styleId="Normal">
    <w:name w:val="Normal"/>
    <w:qFormat/>
    <w:pPr>
      <w:widowControl/>
      <w:suppressAutoHyphens w:val="true"/>
      <w:overflowPunct w:val="true"/>
      <w:bidi w:val="0"/>
      <w:spacing w:lineRule="auto" w:line="276" w:before="0" w:after="0"/>
      <w:jc w:val="left"/>
    </w:pPr>
    <w:rPr>
      <w:rFonts w:ascii="Arial" w:hAnsi="Arial" w:eastAsia="Arial" w:cs="Arial"/>
      <w:color w:val="auto"/>
      <w:kern w:val="0"/>
      <w:sz w:val="22"/>
      <w:szCs w:val="22"/>
      <w:lang w:val="bg-BG" w:eastAsia="bg-BG" w:bidi="ar-SA"/>
    </w:rPr>
  </w:style>
  <w:style w:type="paragraph" w:styleId="Heading1">
    <w:name w:val="heading 1"/>
    <w:basedOn w:val="Normal"/>
    <w:next w:val="Normal"/>
    <w:qFormat/>
    <w:pPr>
      <w:keepNext w:val="true"/>
      <w:keepLines/>
      <w:spacing w:before="480" w:after="120"/>
      <w:outlineLvl w:val="0"/>
    </w:pPr>
    <w:rPr>
      <w:b/>
      <w:sz w:val="48"/>
      <w:szCs w:val="48"/>
    </w:rPr>
  </w:style>
  <w:style w:type="paragraph" w:styleId="Heading2">
    <w:name w:val="heading 2"/>
    <w:basedOn w:val="Normal"/>
    <w:next w:val="Normal"/>
    <w:qFormat/>
    <w:pPr>
      <w:keepNext w:val="true"/>
      <w:keepLines/>
      <w:spacing w:before="360" w:after="80"/>
      <w:outlineLvl w:val="1"/>
    </w:pPr>
    <w:rPr>
      <w:b/>
      <w:sz w:val="36"/>
      <w:szCs w:val="36"/>
    </w:rPr>
  </w:style>
  <w:style w:type="paragraph" w:styleId="Heading3">
    <w:name w:val="heading 3"/>
    <w:basedOn w:val="Normal"/>
    <w:next w:val="Normal"/>
    <w:qFormat/>
    <w:pPr>
      <w:keepNext w:val="true"/>
      <w:keepLines/>
      <w:spacing w:before="280" w:after="80"/>
      <w:outlineLvl w:val="2"/>
    </w:pPr>
    <w:rPr>
      <w:b/>
      <w:sz w:val="28"/>
      <w:szCs w:val="28"/>
    </w:rPr>
  </w:style>
  <w:style w:type="paragraph" w:styleId="Heading4">
    <w:name w:val="heading 4"/>
    <w:basedOn w:val="Normal"/>
    <w:next w:val="Normal"/>
    <w:qFormat/>
    <w:pPr>
      <w:keepNext w:val="true"/>
      <w:keepLines/>
      <w:spacing w:before="240" w:after="40"/>
      <w:outlineLvl w:val="3"/>
    </w:pPr>
    <w:rPr>
      <w:b/>
      <w:sz w:val="24"/>
      <w:szCs w:val="24"/>
    </w:rPr>
  </w:style>
  <w:style w:type="paragraph" w:styleId="Heading5">
    <w:name w:val="heading 5"/>
    <w:basedOn w:val="Normal"/>
    <w:next w:val="Normal"/>
    <w:qFormat/>
    <w:pPr>
      <w:keepNext w:val="true"/>
      <w:keepLines/>
      <w:spacing w:before="220" w:after="40"/>
      <w:outlineLvl w:val="4"/>
    </w:pPr>
    <w:rPr>
      <w:b/>
    </w:rPr>
  </w:style>
  <w:style w:type="paragraph" w:styleId="Heading6">
    <w:name w:val="heading 6"/>
    <w:basedOn w:val="Normal"/>
    <w:next w:val="Normal"/>
    <w:qFormat/>
    <w:pPr>
      <w:keepNext w:val="true"/>
      <w:keepLines/>
      <w:spacing w:before="200" w:after="40"/>
      <w:outlineLvl w:val="5"/>
    </w:pPr>
    <w:rPr>
      <w:b/>
      <w:sz w:val="20"/>
      <w:szCs w:val="20"/>
    </w:rPr>
  </w:style>
  <w:style w:type="character" w:styleId="DefaultParagraphFont">
    <w:name w:val="Default Paragraph Font"/>
    <w:qFormat/>
    <w:rPr/>
  </w:style>
  <w:style w:type="character" w:styleId="Strong">
    <w:name w:val="Strong"/>
    <w:qFormat/>
    <w:rPr>
      <w:b/>
      <w:bCs/>
    </w:rPr>
  </w:style>
  <w:style w:type="character" w:styleId="Style8">
    <w:name w:val="Изнесен текст Знак"/>
    <w:basedOn w:val="DefaultParagraphFont"/>
    <w:qFormat/>
    <w:rPr>
      <w:rFonts w:ascii="Tahoma" w:hAnsi="Tahoma" w:cs="Tahoma"/>
      <w:sz w:val="16"/>
      <w:szCs w:val="16"/>
    </w:rPr>
  </w:style>
  <w:style w:type="character" w:styleId="Style9">
    <w:name w:val="Горен колонтитул Знак"/>
    <w:basedOn w:val="DefaultParagraphFont"/>
    <w:qFormat/>
    <w:rPr/>
  </w:style>
  <w:style w:type="character" w:styleId="Style10">
    <w:name w:val="Долен колонтитул Знак"/>
    <w:basedOn w:val="DefaultParagraphFont"/>
    <w:qFormat/>
    <w:rPr/>
  </w:style>
  <w:style w:type="character" w:styleId="1">
    <w:name w:val="Горен колонтитул Знак1"/>
    <w:basedOn w:val="DefaultParagraphFont"/>
    <w:qFormat/>
    <w:rPr/>
  </w:style>
  <w:style w:type="character" w:styleId="11">
    <w:name w:val="Долен колонтитул Знак1"/>
    <w:basedOn w:val="DefaultParagraphFont"/>
    <w:qFormat/>
    <w:rPr/>
  </w:style>
  <w:style w:type="character" w:styleId="InternetLink">
    <w:name w:val="Internet Link"/>
    <w:qFormat/>
    <w:rPr>
      <w:color w:val="000080"/>
      <w:u w:val="single"/>
      <w:lang w:val="zxx" w:eastAsia="zxx" w:bidi="zxx"/>
    </w:rPr>
  </w:style>
  <w:style w:type="character" w:styleId="InternetLink1">
    <w:name w:val="Internet Link1"/>
    <w:qFormat/>
    <w:rPr>
      <w:color w:val="000080"/>
      <w:u w:val="single"/>
    </w:rPr>
  </w:style>
  <w:style w:type="character" w:styleId="InternetLink2">
    <w:name w:val="Internet Link2"/>
    <w:qFormat/>
    <w:rPr>
      <w:color w:val="000080"/>
      <w:u w:val="single"/>
    </w:rPr>
  </w:style>
  <w:style w:type="character" w:styleId="InternetLink3">
    <w:name w:val="Internet Link3"/>
    <w:qFormat/>
    <w:rPr>
      <w:color w:val="000080"/>
      <w:u w:val="single"/>
    </w:rPr>
  </w:style>
  <w:style w:type="character" w:styleId="InternetLink4">
    <w:name w:val="Internet Link4"/>
    <w:qFormat/>
    <w:rPr>
      <w:color w:val="000080"/>
      <w:u w:val="single"/>
    </w:rPr>
  </w:style>
  <w:style w:type="character" w:styleId="Hyperlink">
    <w:name w:val="Hyperlink"/>
    <w:rPr>
      <w:color w:val="000080"/>
      <w:u w:val="single"/>
    </w:rPr>
  </w:style>
  <w:style w:type="paragraph" w:styleId="Style11">
    <w:name w:val="Заглавие"/>
    <w:basedOn w:val="Normal"/>
    <w:next w:val="BodyText"/>
    <w:qFormat/>
    <w:pPr>
      <w:keepNext w:val="true"/>
      <w:spacing w:before="240" w:after="120"/>
    </w:pPr>
    <w:rPr>
      <w:rFonts w:ascii="Liberation Sans" w:hAnsi="Liberation Sans" w:eastAsia="PingFang SC" w:cs="Lucida Sans"/>
      <w:sz w:val="28"/>
      <w:szCs w:val="28"/>
    </w:rPr>
  </w:style>
  <w:style w:type="paragraph" w:styleId="BodyText">
    <w:name w:val="Body Text"/>
    <w:basedOn w:val="Normal"/>
    <w:pPr>
      <w:spacing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Style12">
    <w:name w:val="Указател"/>
    <w:basedOn w:val="Normal"/>
    <w:qFormat/>
    <w:pPr>
      <w:suppressLineNumbers/>
    </w:pPr>
    <w:rPr>
      <w:rFonts w:cs="Lucida Sans"/>
    </w:rPr>
  </w:style>
  <w:style w:type="paragraph" w:styleId="Title">
    <w:name w:val="Title"/>
    <w:basedOn w:val="Normal"/>
    <w:next w:val="BodyText"/>
    <w:qFormat/>
    <w:pPr>
      <w:keepNext w:val="true"/>
      <w:keepLines/>
      <w:spacing w:before="0" w:after="60"/>
    </w:pPr>
    <w:rPr>
      <w:sz w:val="52"/>
      <w:szCs w:val="52"/>
    </w:rPr>
  </w:style>
  <w:style w:type="paragraph" w:styleId="Heading11">
    <w:name w:val="Heading 11"/>
    <w:basedOn w:val="Normal"/>
    <w:next w:val="Normal"/>
    <w:qFormat/>
    <w:pPr>
      <w:keepNext w:val="true"/>
      <w:keepLines/>
      <w:spacing w:before="400" w:after="120"/>
      <w:outlineLvl w:val="0"/>
    </w:pPr>
    <w:rPr>
      <w:sz w:val="40"/>
      <w:szCs w:val="40"/>
    </w:rPr>
  </w:style>
  <w:style w:type="paragraph" w:styleId="Heading21">
    <w:name w:val="Heading 21"/>
    <w:basedOn w:val="Normal"/>
    <w:next w:val="Normal"/>
    <w:qFormat/>
    <w:pPr>
      <w:keepNext w:val="true"/>
      <w:keepLines/>
      <w:spacing w:before="360" w:after="120"/>
      <w:outlineLvl w:val="1"/>
    </w:pPr>
    <w:rPr>
      <w:sz w:val="32"/>
      <w:szCs w:val="32"/>
    </w:rPr>
  </w:style>
  <w:style w:type="paragraph" w:styleId="Heading31">
    <w:name w:val="Heading 31"/>
    <w:basedOn w:val="Normal"/>
    <w:next w:val="Normal"/>
    <w:qFormat/>
    <w:pPr>
      <w:keepNext w:val="true"/>
      <w:keepLines/>
      <w:spacing w:before="320" w:after="80"/>
      <w:outlineLvl w:val="2"/>
    </w:pPr>
    <w:rPr>
      <w:color w:val="434343"/>
      <w:sz w:val="28"/>
      <w:szCs w:val="28"/>
    </w:rPr>
  </w:style>
  <w:style w:type="paragraph" w:styleId="Heading41">
    <w:name w:val="Heading 41"/>
    <w:basedOn w:val="Normal"/>
    <w:next w:val="Normal"/>
    <w:qFormat/>
    <w:pPr>
      <w:keepNext w:val="true"/>
      <w:keepLines/>
      <w:spacing w:before="280" w:after="80"/>
      <w:outlineLvl w:val="3"/>
    </w:pPr>
    <w:rPr>
      <w:color w:val="666666"/>
      <w:sz w:val="24"/>
      <w:szCs w:val="24"/>
    </w:rPr>
  </w:style>
  <w:style w:type="paragraph" w:styleId="Heading51">
    <w:name w:val="Heading 51"/>
    <w:basedOn w:val="Normal"/>
    <w:next w:val="Normal"/>
    <w:qFormat/>
    <w:pPr>
      <w:keepNext w:val="true"/>
      <w:keepLines/>
      <w:spacing w:before="240" w:after="80"/>
      <w:outlineLvl w:val="4"/>
    </w:pPr>
    <w:rPr>
      <w:color w:val="666666"/>
    </w:rPr>
  </w:style>
  <w:style w:type="paragraph" w:styleId="Heading61">
    <w:name w:val="Heading 61"/>
    <w:basedOn w:val="Normal"/>
    <w:next w:val="Normal"/>
    <w:qFormat/>
    <w:pPr>
      <w:keepNext w:val="true"/>
      <w:keepLines/>
      <w:spacing w:before="240" w:after="80"/>
      <w:outlineLvl w:val="5"/>
    </w:pPr>
    <w:rPr>
      <w:i/>
      <w:color w:val="666666"/>
    </w:rPr>
  </w:style>
  <w:style w:type="paragraph" w:styleId="Caption1">
    <w:name w:val="Caption1"/>
    <w:basedOn w:val="Normal"/>
    <w:qFormat/>
    <w:pPr>
      <w:suppressLineNumbers/>
      <w:spacing w:before="120" w:after="120"/>
    </w:pPr>
    <w:rPr>
      <w:rFonts w:cs="Lucida Sans"/>
      <w:i/>
      <w:iCs/>
      <w:sz w:val="24"/>
      <w:szCs w:val="24"/>
    </w:rPr>
  </w:style>
  <w:style w:type="paragraph" w:styleId="Subtitle">
    <w:name w:val="Subtitle"/>
    <w:basedOn w:val="Normal"/>
    <w:next w:val="Normal"/>
    <w:qFormat/>
    <w:pPr>
      <w:keepNext w:val="true"/>
      <w:keepLines/>
      <w:spacing w:before="0" w:after="320"/>
    </w:pPr>
    <w:rPr>
      <w:color w:val="666666"/>
      <w:sz w:val="30"/>
      <w:szCs w:val="30"/>
    </w:rPr>
  </w:style>
  <w:style w:type="paragraph" w:styleId="-">
    <w:name w:val="Таблица - съдържание"/>
    <w:basedOn w:val="Normal"/>
    <w:qFormat/>
    <w:pPr>
      <w:widowControl w:val="false"/>
      <w:suppressLineNumbers/>
    </w:pPr>
    <w:rPr/>
  </w:style>
  <w:style w:type="paragraph" w:styleId="-1">
    <w:name w:val="Таблица - заглавие"/>
    <w:basedOn w:val="-"/>
    <w:qFormat/>
    <w:pPr>
      <w:jc w:val="center"/>
    </w:pPr>
    <w:rPr>
      <w:b/>
      <w:bCs/>
    </w:rPr>
  </w:style>
  <w:style w:type="paragraph" w:styleId="Style13">
    <w:name w:val="Колонтитули"/>
    <w:basedOn w:val="Normal"/>
    <w:qFormat/>
    <w:pPr/>
    <w:rPr/>
  </w:style>
  <w:style w:type="paragraph" w:styleId="Header1">
    <w:name w:val="Header1"/>
    <w:basedOn w:val="Style13"/>
    <w:qFormat/>
    <w:pPr/>
    <w:rPr/>
  </w:style>
  <w:style w:type="paragraph" w:styleId="Footer1">
    <w:name w:val="Footer1"/>
    <w:basedOn w:val="Style13"/>
    <w:qFormat/>
    <w:pPr/>
    <w:rPr/>
  </w:style>
  <w:style w:type="paragraph" w:styleId="BalloonText">
    <w:name w:val="Balloon Text"/>
    <w:basedOn w:val="Normal"/>
    <w:qFormat/>
    <w:pPr>
      <w:spacing w:lineRule="auto" w:line="240"/>
    </w:pPr>
    <w:rPr>
      <w:rFonts w:ascii="Tahoma" w:hAnsi="Tahoma" w:cs="Tahoma"/>
      <w:sz w:val="16"/>
      <w:szCs w:val="16"/>
    </w:rPr>
  </w:style>
  <w:style w:type="paragraph" w:styleId="Header">
    <w:name w:val="header"/>
    <w:basedOn w:val="Normal"/>
    <w:pPr>
      <w:tabs>
        <w:tab w:val="clear" w:pos="720"/>
        <w:tab w:val="center" w:pos="4536" w:leader="none"/>
        <w:tab w:val="right" w:pos="9072" w:leader="none"/>
      </w:tabs>
      <w:spacing w:lineRule="auto" w:line="240"/>
    </w:pPr>
    <w:rPr/>
  </w:style>
  <w:style w:type="paragraph" w:styleId="Footer">
    <w:name w:val="footer"/>
    <w:basedOn w:val="Normal"/>
    <w:pPr>
      <w:tabs>
        <w:tab w:val="clear" w:pos="720"/>
        <w:tab w:val="center" w:pos="4536" w:leader="none"/>
        <w:tab w:val="right" w:pos="9072" w:leader="none"/>
      </w:tabs>
      <w:spacing w:lineRule="auto" w:line="240"/>
    </w:pPr>
    <w:rPr/>
  </w:style>
  <w:style w:type="numbering" w:styleId="Style14">
    <w:name w:val="Без списък"/>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mailto:online@erider.bg" TargetMode="Externa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1721</TotalTime>
  <Application>LibreOffice/24.8.1.2$Windows_X86_64 LibreOffice_project/87fa9aec1a63e70835390b81c40bb8993f1d4ff6</Application>
  <AppVersion>15.0000</AppVersion>
  <Pages>4</Pages>
  <Words>1816</Words>
  <Characters>10623</Characters>
  <CharactersWithSpaces>12551</CharactersWithSpaces>
  <Paragraphs>111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2023-07-07T07:43:00Z</dcterms:created>
  <dc:creator>eRiderSHOP</dc:creator>
  <dc:description/>
  <dc:language>bg-BG</dc:language>
  <cp:lastModifiedBy/>
  <cp:lastPrinted>2024-04-15T14:39:30Z</cp:lastPrinted>
  <dcterms:modified xsi:type="dcterms:W3CDTF">2024-09-20T16:00:12Z</dcterms:modified>
  <cp:revision>106</cp:revision>
  <dc:subject/>
  <dc:title/>
</cp:coreProperties>
</file>

<file path=docProps/custom.xml><?xml version="1.0" encoding="utf-8"?>
<Properties xmlns="http://schemas.openxmlformats.org/officeDocument/2006/custom-properties" xmlns:vt="http://schemas.openxmlformats.org/officeDocument/2006/docPropsVTypes"/>
</file>